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373FE" w:rsidRPr="006373FE" w14:paraId="2FD4FF75" w14:textId="77777777" w:rsidTr="006373FE">
        <w:trPr>
          <w:tblCellSpacing w:w="0" w:type="dxa"/>
        </w:trPr>
        <w:tc>
          <w:tcPr>
            <w:tcW w:w="0" w:type="auto"/>
            <w:shd w:val="clear" w:color="auto" w:fill="0F4352"/>
            <w:vAlign w:val="center"/>
            <w:hideMark/>
          </w:tcPr>
          <w:tbl>
            <w:tblPr>
              <w:tblW w:w="5000" w:type="pct"/>
              <w:tblCellSpacing w:w="0" w:type="dxa"/>
              <w:tblCellMar>
                <w:left w:w="0" w:type="dxa"/>
                <w:right w:w="0" w:type="dxa"/>
              </w:tblCellMar>
              <w:tblLook w:val="04A0" w:firstRow="1" w:lastRow="0" w:firstColumn="1" w:lastColumn="0" w:noHBand="0" w:noVBand="1"/>
            </w:tblPr>
            <w:tblGrid>
              <w:gridCol w:w="2617"/>
              <w:gridCol w:w="6383"/>
            </w:tblGrid>
            <w:tr w:rsidR="006373FE" w:rsidRPr="006373FE" w14:paraId="2DC05AEB" w14:textId="77777777" w:rsidTr="006373FE">
              <w:trPr>
                <w:tblCellSpacing w:w="0" w:type="dxa"/>
              </w:trPr>
              <w:tc>
                <w:tcPr>
                  <w:tcW w:w="0" w:type="auto"/>
                  <w:tcMar>
                    <w:top w:w="150" w:type="dxa"/>
                    <w:left w:w="300" w:type="dxa"/>
                    <w:bottom w:w="150" w:type="dxa"/>
                    <w:right w:w="75" w:type="dxa"/>
                  </w:tcMar>
                  <w:vAlign w:val="center"/>
                  <w:hideMark/>
                </w:tcPr>
                <w:p w14:paraId="72BF1F9C" w14:textId="77777777" w:rsidR="006373FE" w:rsidRPr="006373FE" w:rsidRDefault="006373FE" w:rsidP="006373FE">
                  <w:pPr>
                    <w:spacing w:after="0" w:line="300" w:lineRule="atLeast"/>
                    <w:rPr>
                      <w:rFonts w:ascii="Verdana" w:eastAsia="Times New Roman" w:hAnsi="Verdana" w:cs="Times New Roman"/>
                      <w:color w:val="FFFFFF"/>
                      <w:sz w:val="27"/>
                      <w:szCs w:val="27"/>
                      <w:lang w:eastAsia="cs-CZ"/>
                    </w:rPr>
                  </w:pPr>
                  <w:r w:rsidRPr="006373FE">
                    <w:rPr>
                      <w:rFonts w:ascii="Verdana" w:eastAsia="Times New Roman" w:hAnsi="Verdana" w:cs="Times New Roman"/>
                      <w:color w:val="FFFFFF"/>
                      <w:sz w:val="27"/>
                      <w:szCs w:val="27"/>
                      <w:lang w:eastAsia="cs-CZ"/>
                    </w:rPr>
                    <w:t>18/2022</w:t>
                  </w:r>
                </w:p>
              </w:tc>
              <w:tc>
                <w:tcPr>
                  <w:tcW w:w="0" w:type="auto"/>
                  <w:tcMar>
                    <w:top w:w="150" w:type="dxa"/>
                    <w:left w:w="75" w:type="dxa"/>
                    <w:bottom w:w="150" w:type="dxa"/>
                    <w:right w:w="300" w:type="dxa"/>
                  </w:tcMar>
                  <w:vAlign w:val="center"/>
                  <w:hideMark/>
                </w:tcPr>
                <w:p w14:paraId="292C90EB" w14:textId="77777777" w:rsidR="006373FE" w:rsidRPr="006373FE" w:rsidRDefault="006373FE" w:rsidP="006373FE">
                  <w:pPr>
                    <w:spacing w:after="0" w:line="300" w:lineRule="atLeast"/>
                    <w:jc w:val="right"/>
                    <w:rPr>
                      <w:rFonts w:ascii="Verdana" w:eastAsia="Times New Roman" w:hAnsi="Verdana" w:cs="Times New Roman"/>
                      <w:color w:val="FFFFFF"/>
                      <w:sz w:val="18"/>
                      <w:szCs w:val="18"/>
                      <w:lang w:eastAsia="cs-CZ"/>
                    </w:rPr>
                  </w:pPr>
                  <w:proofErr w:type="spellStart"/>
                  <w:r w:rsidRPr="006373FE">
                    <w:rPr>
                      <w:rFonts w:ascii="Verdana" w:eastAsia="Times New Roman" w:hAnsi="Verdana" w:cs="Times New Roman"/>
                      <w:color w:val="FFFFFF"/>
                      <w:sz w:val="18"/>
                      <w:szCs w:val="18"/>
                      <w:lang w:eastAsia="cs-CZ"/>
                    </w:rPr>
                    <w:t>For</w:t>
                  </w:r>
                  <w:proofErr w:type="spellEnd"/>
                  <w:r w:rsidRPr="006373FE">
                    <w:rPr>
                      <w:rFonts w:ascii="Verdana" w:eastAsia="Times New Roman" w:hAnsi="Verdana" w:cs="Times New Roman"/>
                      <w:color w:val="FFFFFF"/>
                      <w:sz w:val="18"/>
                      <w:szCs w:val="18"/>
                      <w:lang w:eastAsia="cs-CZ"/>
                    </w:rPr>
                    <w:t xml:space="preserve"> </w:t>
                  </w:r>
                  <w:proofErr w:type="spellStart"/>
                  <w:r w:rsidRPr="006373FE">
                    <w:rPr>
                      <w:rFonts w:ascii="Verdana" w:eastAsia="Times New Roman" w:hAnsi="Verdana" w:cs="Times New Roman"/>
                      <w:color w:val="FFFFFF"/>
                      <w:sz w:val="18"/>
                      <w:szCs w:val="18"/>
                      <w:lang w:eastAsia="cs-CZ"/>
                    </w:rPr>
                    <w:t>English</w:t>
                  </w:r>
                  <w:proofErr w:type="spellEnd"/>
                  <w:r w:rsidRPr="006373FE">
                    <w:rPr>
                      <w:rFonts w:ascii="Verdana" w:eastAsia="Times New Roman" w:hAnsi="Verdana" w:cs="Times New Roman"/>
                      <w:color w:val="FFFFFF"/>
                      <w:sz w:val="18"/>
                      <w:szCs w:val="18"/>
                      <w:lang w:eastAsia="cs-CZ"/>
                    </w:rPr>
                    <w:t xml:space="preserve"> </w:t>
                  </w:r>
                  <w:proofErr w:type="spellStart"/>
                  <w:r w:rsidRPr="006373FE">
                    <w:rPr>
                      <w:rFonts w:ascii="Verdana" w:eastAsia="Times New Roman" w:hAnsi="Verdana" w:cs="Times New Roman"/>
                      <w:color w:val="FFFFFF"/>
                      <w:sz w:val="18"/>
                      <w:szCs w:val="18"/>
                      <w:lang w:eastAsia="cs-CZ"/>
                    </w:rPr>
                    <w:t>version</w:t>
                  </w:r>
                  <w:proofErr w:type="spellEnd"/>
                  <w:r w:rsidRPr="006373FE">
                    <w:rPr>
                      <w:rFonts w:ascii="Verdana" w:eastAsia="Times New Roman" w:hAnsi="Verdana" w:cs="Times New Roman"/>
                      <w:color w:val="FFFFFF"/>
                      <w:sz w:val="18"/>
                      <w:szCs w:val="18"/>
                      <w:lang w:eastAsia="cs-CZ"/>
                    </w:rPr>
                    <w:t xml:space="preserve"> </w:t>
                  </w:r>
                  <w:proofErr w:type="spellStart"/>
                  <w:r w:rsidRPr="006373FE">
                    <w:rPr>
                      <w:rFonts w:ascii="Verdana" w:eastAsia="Times New Roman" w:hAnsi="Verdana" w:cs="Times New Roman"/>
                      <w:color w:val="FFFFFF"/>
                      <w:sz w:val="18"/>
                      <w:szCs w:val="18"/>
                      <w:lang w:eastAsia="cs-CZ"/>
                    </w:rPr>
                    <w:t>please</w:t>
                  </w:r>
                  <w:proofErr w:type="spellEnd"/>
                  <w:r w:rsidRPr="006373FE">
                    <w:rPr>
                      <w:rFonts w:ascii="Verdana" w:eastAsia="Times New Roman" w:hAnsi="Verdana" w:cs="Times New Roman"/>
                      <w:color w:val="FFFFFF"/>
                      <w:sz w:val="18"/>
                      <w:szCs w:val="18"/>
                      <w:lang w:eastAsia="cs-CZ"/>
                    </w:rPr>
                    <w:t xml:space="preserve"> </w:t>
                  </w:r>
                  <w:proofErr w:type="spellStart"/>
                  <w:r w:rsidRPr="006373FE">
                    <w:rPr>
                      <w:rFonts w:ascii="Verdana" w:eastAsia="Times New Roman" w:hAnsi="Verdana" w:cs="Times New Roman"/>
                      <w:color w:val="FFFFFF"/>
                      <w:sz w:val="18"/>
                      <w:szCs w:val="18"/>
                      <w:lang w:eastAsia="cs-CZ"/>
                    </w:rPr>
                    <w:t>click</w:t>
                  </w:r>
                  <w:proofErr w:type="spellEnd"/>
                  <w:r w:rsidRPr="006373FE">
                    <w:rPr>
                      <w:rFonts w:ascii="Verdana" w:eastAsia="Times New Roman" w:hAnsi="Verdana" w:cs="Times New Roman"/>
                      <w:color w:val="FFFFFF"/>
                      <w:sz w:val="18"/>
                      <w:szCs w:val="18"/>
                      <w:lang w:eastAsia="cs-CZ"/>
                    </w:rPr>
                    <w:t> </w:t>
                  </w:r>
                  <w:proofErr w:type="spellStart"/>
                  <w:r w:rsidRPr="006373FE">
                    <w:rPr>
                      <w:rFonts w:ascii="Verdana" w:eastAsia="Times New Roman" w:hAnsi="Verdana" w:cs="Times New Roman"/>
                      <w:color w:val="FFFFFF"/>
                      <w:sz w:val="18"/>
                      <w:szCs w:val="18"/>
                      <w:lang w:eastAsia="cs-CZ"/>
                    </w:rPr>
                    <w:fldChar w:fldCharType="begin"/>
                  </w:r>
                  <w:r w:rsidRPr="006373FE">
                    <w:rPr>
                      <w:rFonts w:ascii="Verdana" w:eastAsia="Times New Roman" w:hAnsi="Verdana" w:cs="Times New Roman"/>
                      <w:color w:val="FFFFFF"/>
                      <w:sz w:val="18"/>
                      <w:szCs w:val="18"/>
                      <w:lang w:eastAsia="cs-CZ"/>
                    </w:rPr>
                    <w:instrText xml:space="preserve"> HYPERLINK "https://mailchi.mp/cbaonline/cba-news-14176229" \t "_blank" </w:instrText>
                  </w:r>
                  <w:r w:rsidRPr="006373FE">
                    <w:rPr>
                      <w:rFonts w:ascii="Verdana" w:eastAsia="Times New Roman" w:hAnsi="Verdana" w:cs="Times New Roman"/>
                      <w:color w:val="FFFFFF"/>
                      <w:sz w:val="18"/>
                      <w:szCs w:val="18"/>
                      <w:lang w:eastAsia="cs-CZ"/>
                    </w:rPr>
                    <w:fldChar w:fldCharType="separate"/>
                  </w:r>
                  <w:r w:rsidRPr="006373FE">
                    <w:rPr>
                      <w:rFonts w:ascii="Verdana" w:eastAsia="Times New Roman" w:hAnsi="Verdana" w:cs="Times New Roman"/>
                      <w:color w:val="FFFFFF"/>
                      <w:sz w:val="18"/>
                      <w:szCs w:val="18"/>
                      <w:u w:val="single"/>
                      <w:lang w:eastAsia="cs-CZ"/>
                    </w:rPr>
                    <w:t>here</w:t>
                  </w:r>
                  <w:proofErr w:type="spellEnd"/>
                  <w:r w:rsidRPr="006373FE">
                    <w:rPr>
                      <w:rFonts w:ascii="Verdana" w:eastAsia="Times New Roman" w:hAnsi="Verdana" w:cs="Times New Roman"/>
                      <w:color w:val="FFFFFF"/>
                      <w:sz w:val="18"/>
                      <w:szCs w:val="18"/>
                      <w:lang w:eastAsia="cs-CZ"/>
                    </w:rPr>
                    <w:fldChar w:fldCharType="end"/>
                  </w:r>
                  <w:r w:rsidRPr="006373FE">
                    <w:rPr>
                      <w:rFonts w:ascii="Verdana" w:eastAsia="Times New Roman" w:hAnsi="Verdana" w:cs="Times New Roman"/>
                      <w:color w:val="FFFFFF"/>
                      <w:sz w:val="18"/>
                      <w:szCs w:val="18"/>
                      <w:lang w:eastAsia="cs-CZ"/>
                    </w:rPr>
                    <w:t>.</w:t>
                  </w:r>
                </w:p>
              </w:tc>
            </w:tr>
          </w:tbl>
          <w:p w14:paraId="476CB127" w14:textId="77777777" w:rsidR="006373FE" w:rsidRPr="006373FE" w:rsidRDefault="006373FE" w:rsidP="006373FE">
            <w:pPr>
              <w:spacing w:after="0" w:line="240" w:lineRule="auto"/>
              <w:rPr>
                <w:rFonts w:ascii="Times New Roman" w:eastAsia="Times New Roman" w:hAnsi="Times New Roman" w:cs="Times New Roman"/>
                <w:color w:val="FFFFFF"/>
                <w:sz w:val="27"/>
                <w:szCs w:val="27"/>
                <w:lang w:eastAsia="cs-CZ"/>
              </w:rPr>
            </w:pPr>
          </w:p>
        </w:tc>
      </w:tr>
      <w:tr w:rsidR="006373FE" w:rsidRPr="006373FE" w14:paraId="18D7598C" w14:textId="77777777" w:rsidTr="006373FE">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6373FE" w:rsidRPr="006373FE" w14:paraId="0679BACB" w14:textId="77777777">
              <w:trPr>
                <w:tblCellSpacing w:w="0" w:type="dxa"/>
                <w:jc w:val="center"/>
              </w:trPr>
              <w:tc>
                <w:tcPr>
                  <w:tcW w:w="0" w:type="auto"/>
                  <w:tcMar>
                    <w:top w:w="600" w:type="dxa"/>
                    <w:left w:w="300" w:type="dxa"/>
                    <w:bottom w:w="600" w:type="dxa"/>
                    <w:right w:w="300" w:type="dxa"/>
                  </w:tcMar>
                  <w:vAlign w:val="center"/>
                  <w:hideMark/>
                </w:tcPr>
                <w:p w14:paraId="195900A0" w14:textId="2A4E2C04"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drawing>
                      <wp:inline distT="0" distB="0" distL="0" distR="0" wp14:anchorId="663B7011" wp14:editId="03568C39">
                        <wp:extent cx="4953000" cy="971550"/>
                        <wp:effectExtent l="0" t="0" r="0" b="0"/>
                        <wp:docPr id="2" name="Obrázek 2" descr="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971550"/>
                                </a:xfrm>
                                <a:prstGeom prst="rect">
                                  <a:avLst/>
                                </a:prstGeom>
                                <a:noFill/>
                                <a:ln>
                                  <a:noFill/>
                                </a:ln>
                              </pic:spPr>
                            </pic:pic>
                          </a:graphicData>
                        </a:graphic>
                      </wp:inline>
                    </w:drawing>
                  </w:r>
                </w:p>
              </w:tc>
            </w:tr>
          </w:tbl>
          <w:p w14:paraId="06FFA7DC"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32083778" w14:textId="77777777" w:rsidTr="006373FE">
        <w:trPr>
          <w:tblCellSpacing w:w="0" w:type="dxa"/>
        </w:trPr>
        <w:tc>
          <w:tcPr>
            <w:tcW w:w="0" w:type="auto"/>
            <w:shd w:val="clear" w:color="auto" w:fill="000000"/>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6373FE" w:rsidRPr="006373FE" w14:paraId="5D58105E" w14:textId="77777777">
              <w:trPr>
                <w:tblCellSpacing w:w="0" w:type="dxa"/>
                <w:jc w:val="center"/>
              </w:trPr>
              <w:tc>
                <w:tcPr>
                  <w:tcW w:w="0" w:type="auto"/>
                  <w:tcMar>
                    <w:top w:w="450" w:type="dxa"/>
                    <w:left w:w="300" w:type="dxa"/>
                    <w:bottom w:w="0" w:type="dxa"/>
                    <w:right w:w="300" w:type="dxa"/>
                  </w:tcMar>
                  <w:vAlign w:val="center"/>
                  <w:hideMark/>
                </w:tcPr>
                <w:p w14:paraId="1893134C" w14:textId="77777777" w:rsidR="006373FE" w:rsidRPr="006373FE" w:rsidRDefault="006373FE" w:rsidP="006373FE">
                  <w:pPr>
                    <w:spacing w:after="0" w:line="330" w:lineRule="atLeast"/>
                    <w:rPr>
                      <w:rFonts w:ascii="Verdana" w:eastAsia="Times New Roman" w:hAnsi="Verdana" w:cs="Times New Roman"/>
                      <w:color w:val="A9936D"/>
                      <w:sz w:val="21"/>
                      <w:szCs w:val="21"/>
                      <w:lang w:eastAsia="cs-CZ"/>
                    </w:rPr>
                  </w:pPr>
                  <w:r w:rsidRPr="006373FE">
                    <w:rPr>
                      <w:rFonts w:ascii="Verdana" w:eastAsia="Times New Roman" w:hAnsi="Verdana" w:cs="Times New Roman"/>
                      <w:color w:val="A9936D"/>
                      <w:sz w:val="21"/>
                      <w:szCs w:val="21"/>
                      <w:lang w:eastAsia="cs-CZ"/>
                    </w:rPr>
                    <w:t>Milé kolegyně, milí kolegové,</w:t>
                  </w:r>
                  <w:r w:rsidRPr="006373FE">
                    <w:rPr>
                      <w:rFonts w:ascii="Verdana" w:eastAsia="Times New Roman" w:hAnsi="Verdana" w:cs="Times New Roman"/>
                      <w:color w:val="A9936D"/>
                      <w:sz w:val="21"/>
                      <w:szCs w:val="21"/>
                      <w:lang w:eastAsia="cs-CZ"/>
                    </w:rPr>
                    <w:br/>
                    <w:t> </w:t>
                  </w:r>
                  <w:r w:rsidRPr="006373FE">
                    <w:rPr>
                      <w:rFonts w:ascii="Verdana" w:eastAsia="Times New Roman" w:hAnsi="Verdana" w:cs="Times New Roman"/>
                      <w:color w:val="A9936D"/>
                      <w:sz w:val="21"/>
                      <w:szCs w:val="21"/>
                      <w:lang w:eastAsia="cs-CZ"/>
                    </w:rPr>
                    <w:br/>
                    <w:t>počet kybernetických a dalších útoků na bankovní klienty neustále roste. Křivka se vydala strmě vzhůru v covidových letech, kdy tisíce lidí přesunuly své osobní i pracovní aktivity z velké části na internet. S oslabením epidemie útoky bohužel nepolevily, spíš naopak. Hackeři se soustředí prakticky na všechny věkové skupiny a využívají desítky taktik, někdy velmi sofistikovaných, jindy zcela triviálních.</w:t>
                  </w:r>
                  <w:r w:rsidRPr="006373FE">
                    <w:rPr>
                      <w:rFonts w:ascii="Verdana" w:eastAsia="Times New Roman" w:hAnsi="Verdana" w:cs="Times New Roman"/>
                      <w:color w:val="A9936D"/>
                      <w:sz w:val="21"/>
                      <w:szCs w:val="21"/>
                      <w:lang w:eastAsia="cs-CZ"/>
                    </w:rPr>
                    <w:br/>
                    <w:t xml:space="preserve">Musíme se bohužel smířit s faktem, že </w:t>
                  </w:r>
                  <w:proofErr w:type="spellStart"/>
                  <w:r w:rsidRPr="006373FE">
                    <w:rPr>
                      <w:rFonts w:ascii="Verdana" w:eastAsia="Times New Roman" w:hAnsi="Verdana" w:cs="Times New Roman"/>
                      <w:color w:val="A9936D"/>
                      <w:sz w:val="21"/>
                      <w:szCs w:val="21"/>
                      <w:lang w:eastAsia="cs-CZ"/>
                    </w:rPr>
                    <w:t>hacking</w:t>
                  </w:r>
                  <w:proofErr w:type="spellEnd"/>
                  <w:r w:rsidRPr="006373FE">
                    <w:rPr>
                      <w:rFonts w:ascii="Verdana" w:eastAsia="Times New Roman" w:hAnsi="Verdana" w:cs="Times New Roman"/>
                      <w:color w:val="A9936D"/>
                      <w:sz w:val="21"/>
                      <w:szCs w:val="21"/>
                      <w:lang w:eastAsia="cs-CZ"/>
                    </w:rPr>
                    <w:t xml:space="preserve"> se stal regulérním, byť nelegálním průmyslem. A k provedení útoků často nejsou třeba nijak zvlášť velké IT znalosti. Jsem ráda, že český bankovní sektor je na špici v technickém řešení ochrany klientských účtů i dalších bankovních systémů. Ani ta nejlepší technika ovšem nezmůže nic proti naivitě, důvěřivosti, neopatrnosti.  A proto jsme se rozhodli spustit velkou celonárodní vzdělávací kampaň s názvem #</w:t>
                  </w:r>
                  <w:proofErr w:type="gramStart"/>
                  <w:r w:rsidRPr="006373FE">
                    <w:rPr>
                      <w:rFonts w:ascii="Verdana" w:eastAsia="Times New Roman" w:hAnsi="Verdana" w:cs="Times New Roman"/>
                      <w:color w:val="A9936D"/>
                      <w:sz w:val="21"/>
                      <w:szCs w:val="21"/>
                      <w:lang w:eastAsia="cs-CZ"/>
                    </w:rPr>
                    <w:t>nePINdej!,</w:t>
                  </w:r>
                  <w:proofErr w:type="gramEnd"/>
                  <w:r w:rsidRPr="006373FE">
                    <w:rPr>
                      <w:rFonts w:ascii="Verdana" w:eastAsia="Times New Roman" w:hAnsi="Verdana" w:cs="Times New Roman"/>
                      <w:color w:val="A9936D"/>
                      <w:sz w:val="21"/>
                      <w:szCs w:val="21"/>
                      <w:lang w:eastAsia="cs-CZ"/>
                    </w:rPr>
                    <w:t xml:space="preserve"> kterou chceme veřejnost varovat a poučit, jak útoky rozpoznat a jak jim nenaletět.</w:t>
                  </w:r>
                </w:p>
              </w:tc>
            </w:tr>
          </w:tbl>
          <w:p w14:paraId="1678C41D"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091F805A" w14:textId="77777777" w:rsidTr="006373FE">
        <w:trPr>
          <w:tblCellSpacing w:w="0" w:type="dxa"/>
        </w:trPr>
        <w:tc>
          <w:tcPr>
            <w:tcW w:w="0" w:type="auto"/>
            <w:shd w:val="clear" w:color="auto" w:fill="000000"/>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5550"/>
              <w:gridCol w:w="3450"/>
            </w:tblGrid>
            <w:tr w:rsidR="006373FE" w:rsidRPr="006373FE" w14:paraId="47A9879E" w14:textId="77777777">
              <w:trPr>
                <w:tblCellSpacing w:w="0" w:type="dxa"/>
                <w:jc w:val="center"/>
              </w:trPr>
              <w:tc>
                <w:tcPr>
                  <w:tcW w:w="5550" w:type="dxa"/>
                  <w:hideMark/>
                </w:tcPr>
                <w:tbl>
                  <w:tblPr>
                    <w:tblpPr w:leftFromText="45" w:rightFromText="45" w:vertAnchor="text" w:tblpXSpec="right" w:tblpYSpec="center"/>
                    <w:tblW w:w="5250" w:type="dxa"/>
                    <w:tblCellSpacing w:w="0" w:type="dxa"/>
                    <w:tblCellMar>
                      <w:left w:w="0" w:type="dxa"/>
                      <w:right w:w="0" w:type="dxa"/>
                    </w:tblCellMar>
                    <w:tblLook w:val="04A0" w:firstRow="1" w:lastRow="0" w:firstColumn="1" w:lastColumn="0" w:noHBand="0" w:noVBand="1"/>
                  </w:tblPr>
                  <w:tblGrid>
                    <w:gridCol w:w="5250"/>
                  </w:tblGrid>
                  <w:tr w:rsidR="006373FE" w:rsidRPr="006373FE" w14:paraId="6B72DEB1" w14:textId="77777777">
                    <w:trPr>
                      <w:tblCellSpacing w:w="0" w:type="dxa"/>
                    </w:trPr>
                    <w:tc>
                      <w:tcPr>
                        <w:tcW w:w="0" w:type="auto"/>
                        <w:tcMar>
                          <w:top w:w="0" w:type="dxa"/>
                          <w:left w:w="300" w:type="dxa"/>
                          <w:bottom w:w="450" w:type="dxa"/>
                          <w:right w:w="0" w:type="dxa"/>
                        </w:tcMar>
                        <w:vAlign w:val="center"/>
                        <w:hideMark/>
                      </w:tcPr>
                      <w:p w14:paraId="0044D382" w14:textId="77777777" w:rsidR="006373FE" w:rsidRPr="006373FE" w:rsidRDefault="006373FE" w:rsidP="006373FE">
                        <w:pPr>
                          <w:spacing w:after="0" w:line="330" w:lineRule="atLeast"/>
                          <w:rPr>
                            <w:rFonts w:ascii="Verdana" w:eastAsia="Times New Roman" w:hAnsi="Verdana" w:cs="Times New Roman"/>
                            <w:color w:val="A9936D"/>
                            <w:sz w:val="21"/>
                            <w:szCs w:val="21"/>
                            <w:lang w:eastAsia="cs-CZ"/>
                          </w:rPr>
                        </w:pPr>
                        <w:r w:rsidRPr="006373FE">
                          <w:rPr>
                            <w:rFonts w:ascii="Verdana" w:eastAsia="Times New Roman" w:hAnsi="Verdana" w:cs="Times New Roman"/>
                            <w:color w:val="A9936D"/>
                            <w:sz w:val="21"/>
                            <w:szCs w:val="21"/>
                            <w:lang w:eastAsia="cs-CZ"/>
                          </w:rPr>
                          <w:t>Chci moc poděkovat všem partnerům, kteří se k nám připojili a pomáhají nám! Bez nich by se nám nepodařilo zrealizovat tak rozsáhlý projekt, který má opravdu smysl.</w:t>
                        </w:r>
                        <w:r w:rsidRPr="006373FE">
                          <w:rPr>
                            <w:rFonts w:ascii="Verdana" w:eastAsia="Times New Roman" w:hAnsi="Verdana" w:cs="Times New Roman"/>
                            <w:color w:val="A9936D"/>
                            <w:sz w:val="21"/>
                            <w:szCs w:val="21"/>
                            <w:lang w:eastAsia="cs-CZ"/>
                          </w:rPr>
                          <w:br/>
                        </w:r>
                        <w:r w:rsidRPr="006373FE">
                          <w:rPr>
                            <w:rFonts w:ascii="Verdana" w:eastAsia="Times New Roman" w:hAnsi="Verdana" w:cs="Times New Roman"/>
                            <w:color w:val="A9936D"/>
                            <w:sz w:val="21"/>
                            <w:szCs w:val="21"/>
                            <w:lang w:eastAsia="cs-CZ"/>
                          </w:rPr>
                          <w:br/>
                          <w:t>Přeji Vám vše nejlepší! A hlavně #nePINdejte!</w:t>
                        </w:r>
                        <w:r w:rsidRPr="006373FE">
                          <w:rPr>
                            <w:rFonts w:ascii="Verdana" w:eastAsia="Times New Roman" w:hAnsi="Verdana" w:cs="Times New Roman"/>
                            <w:color w:val="A9936D"/>
                            <w:sz w:val="21"/>
                            <w:szCs w:val="21"/>
                            <w:lang w:eastAsia="cs-CZ"/>
                          </w:rPr>
                          <w:br/>
                        </w:r>
                        <w:r w:rsidRPr="006373FE">
                          <w:rPr>
                            <w:rFonts w:ascii="Verdana" w:eastAsia="Times New Roman" w:hAnsi="Verdana" w:cs="Times New Roman"/>
                            <w:color w:val="A9936D"/>
                            <w:sz w:val="21"/>
                            <w:szCs w:val="21"/>
                            <w:lang w:eastAsia="cs-CZ"/>
                          </w:rPr>
                          <w:br/>
                        </w:r>
                        <w:r w:rsidRPr="006373FE">
                          <w:rPr>
                            <w:rFonts w:ascii="Verdana" w:eastAsia="Times New Roman" w:hAnsi="Verdana" w:cs="Times New Roman"/>
                            <w:color w:val="A9936D"/>
                            <w:sz w:val="21"/>
                            <w:szCs w:val="21"/>
                            <w:lang w:eastAsia="cs-CZ"/>
                          </w:rPr>
                          <w:br/>
                        </w:r>
                        <w:r w:rsidRPr="006373FE">
                          <w:rPr>
                            <w:rFonts w:ascii="Verdana" w:eastAsia="Times New Roman" w:hAnsi="Verdana" w:cs="Times New Roman"/>
                            <w:b/>
                            <w:bCs/>
                            <w:color w:val="A9936D"/>
                            <w:sz w:val="21"/>
                            <w:szCs w:val="21"/>
                            <w:lang w:eastAsia="cs-CZ"/>
                          </w:rPr>
                          <w:t>Monika Zahálková</w:t>
                        </w:r>
                        <w:r w:rsidRPr="006373FE">
                          <w:rPr>
                            <w:rFonts w:ascii="Verdana" w:eastAsia="Times New Roman" w:hAnsi="Verdana" w:cs="Times New Roman"/>
                            <w:color w:val="A9936D"/>
                            <w:sz w:val="21"/>
                            <w:szCs w:val="21"/>
                            <w:lang w:eastAsia="cs-CZ"/>
                          </w:rPr>
                          <w:t>, výkonná ředitelka</w:t>
                        </w:r>
                      </w:p>
                    </w:tc>
                  </w:tr>
                </w:tbl>
                <w:p w14:paraId="30D61C8C" w14:textId="77777777" w:rsidR="006373FE" w:rsidRPr="006373FE" w:rsidRDefault="006373FE" w:rsidP="006373FE">
                  <w:pPr>
                    <w:spacing w:after="0" w:line="240" w:lineRule="auto"/>
                    <w:jc w:val="right"/>
                    <w:rPr>
                      <w:rFonts w:ascii="Times New Roman" w:eastAsia="Times New Roman" w:hAnsi="Times New Roman" w:cs="Times New Roman"/>
                      <w:sz w:val="24"/>
                      <w:szCs w:val="24"/>
                      <w:lang w:eastAsia="cs-CZ"/>
                    </w:rPr>
                  </w:pPr>
                </w:p>
              </w:tc>
              <w:tc>
                <w:tcPr>
                  <w:tcW w:w="3450" w:type="dxa"/>
                  <w:vAlign w:val="bottom"/>
                  <w:hideMark/>
                </w:tcPr>
                <w:p w14:paraId="2111EC78" w14:textId="2ECA1909" w:rsidR="006373FE" w:rsidRPr="006373FE" w:rsidRDefault="006373FE" w:rsidP="006373FE">
                  <w:pPr>
                    <w:spacing w:after="0" w:line="240" w:lineRule="auto"/>
                    <w:jc w:val="right"/>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drawing>
                      <wp:inline distT="0" distB="0" distL="0" distR="0" wp14:anchorId="11472E12" wp14:editId="48242C73">
                        <wp:extent cx="2190750" cy="3238500"/>
                        <wp:effectExtent l="0" t="0" r="0" b="0"/>
                        <wp:docPr id="1" name="Obrázek 1" descr="Obsah obrázku osoba, interiér, pózo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osoba, interiér, pózování&#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238500"/>
                                </a:xfrm>
                                <a:prstGeom prst="rect">
                                  <a:avLst/>
                                </a:prstGeom>
                                <a:noFill/>
                                <a:ln>
                                  <a:noFill/>
                                </a:ln>
                              </pic:spPr>
                            </pic:pic>
                          </a:graphicData>
                        </a:graphic>
                      </wp:inline>
                    </w:drawing>
                  </w:r>
                </w:p>
              </w:tc>
            </w:tr>
          </w:tbl>
          <w:p w14:paraId="4DC491F0"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789917D9"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44597DFB" w14:textId="77777777">
              <w:trPr>
                <w:tblCellSpacing w:w="0" w:type="dxa"/>
                <w:jc w:val="center"/>
              </w:trPr>
              <w:tc>
                <w:tcPr>
                  <w:tcW w:w="0" w:type="auto"/>
                  <w:vAlign w:val="center"/>
                  <w:hideMark/>
                </w:tcPr>
                <w:p w14:paraId="188BC035" w14:textId="77777777" w:rsidR="006373FE" w:rsidRPr="006373FE" w:rsidRDefault="006373FE" w:rsidP="006373FE">
                  <w:pPr>
                    <w:spacing w:after="0" w:line="240" w:lineRule="auto"/>
                    <w:jc w:val="center"/>
                    <w:rPr>
                      <w:rFonts w:ascii="Times New Roman" w:eastAsia="Times New Roman" w:hAnsi="Times New Roman" w:cs="Times New Roman"/>
                      <w:sz w:val="20"/>
                      <w:szCs w:val="20"/>
                      <w:lang w:eastAsia="cs-CZ"/>
                    </w:rPr>
                  </w:pPr>
                </w:p>
              </w:tc>
            </w:tr>
          </w:tbl>
          <w:p w14:paraId="3842E006"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bl>
    <w:p w14:paraId="3B96433A" w14:textId="35D6504E" w:rsidR="0020451E" w:rsidRDefault="0020451E"/>
    <w:p w14:paraId="79D3942D" w14:textId="44E88C5E" w:rsidR="006373FE" w:rsidRDefault="006373FE"/>
    <w:p w14:paraId="285DBC1B" w14:textId="2F061600" w:rsidR="006373FE" w:rsidRDefault="006373FE"/>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373FE" w:rsidRPr="006373FE" w14:paraId="25A27BAD"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28461C5B" w14:textId="77777777">
              <w:trPr>
                <w:tblCellSpacing w:w="0" w:type="dxa"/>
                <w:jc w:val="center"/>
              </w:trPr>
              <w:tc>
                <w:tcPr>
                  <w:tcW w:w="0" w:type="auto"/>
                  <w:shd w:val="clear" w:color="auto" w:fill="13576B"/>
                  <w:vAlign w:val="center"/>
                  <w:hideMark/>
                </w:tcPr>
                <w:p w14:paraId="247143E3" w14:textId="11890C89"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lastRenderedPageBreak/>
                    <w:drawing>
                      <wp:inline distT="0" distB="0" distL="0" distR="0" wp14:anchorId="5EC53810" wp14:editId="35F4F5DE">
                        <wp:extent cx="5715000" cy="1905000"/>
                        <wp:effectExtent l="0" t="0" r="0" b="0"/>
                        <wp:docPr id="15" name="Obrázek 15" descr="Aktuá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tuáln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24BA9994"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19E7130C" w14:textId="77777777" w:rsidTr="006373FE">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6373FE" w:rsidRPr="006373FE" w14:paraId="7CE226A0" w14:textId="77777777">
              <w:trPr>
                <w:tblCellSpacing w:w="0" w:type="dxa"/>
                <w:jc w:val="center"/>
              </w:trPr>
              <w:tc>
                <w:tcPr>
                  <w:tcW w:w="0" w:type="auto"/>
                  <w:tcMar>
                    <w:top w:w="450" w:type="dxa"/>
                    <w:left w:w="300" w:type="dxa"/>
                    <w:bottom w:w="225" w:type="dxa"/>
                    <w:right w:w="300" w:type="dxa"/>
                  </w:tcMar>
                  <w:vAlign w:val="center"/>
                  <w:hideMark/>
                </w:tcPr>
                <w:p w14:paraId="656F60D1"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13576B"/>
                      <w:sz w:val="24"/>
                      <w:szCs w:val="24"/>
                      <w:lang w:eastAsia="cs-CZ"/>
                    </w:rPr>
                    <w:t>ČBA spouští rozsáhlou kampaň proti podvodníkům</w:t>
                  </w:r>
                </w:p>
              </w:tc>
            </w:tr>
            <w:tr w:rsidR="006373FE" w:rsidRPr="006373FE" w14:paraId="4ED557C8" w14:textId="77777777">
              <w:trPr>
                <w:tblCellSpacing w:w="0" w:type="dxa"/>
                <w:jc w:val="center"/>
              </w:trPr>
              <w:tc>
                <w:tcPr>
                  <w:tcW w:w="0" w:type="auto"/>
                  <w:tcMar>
                    <w:top w:w="0" w:type="dxa"/>
                    <w:left w:w="300" w:type="dxa"/>
                    <w:bottom w:w="0" w:type="dxa"/>
                    <w:right w:w="300" w:type="dxa"/>
                  </w:tcMar>
                  <w:vAlign w:val="center"/>
                  <w:hideMark/>
                </w:tcPr>
                <w:p w14:paraId="0AF0B17A" w14:textId="47032972"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drawing>
                      <wp:inline distT="0" distB="0" distL="0" distR="0" wp14:anchorId="4F04B0C0" wp14:editId="0AF72997">
                        <wp:extent cx="5048250" cy="26384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638425"/>
                                </a:xfrm>
                                <a:prstGeom prst="rect">
                                  <a:avLst/>
                                </a:prstGeom>
                                <a:noFill/>
                                <a:ln>
                                  <a:noFill/>
                                </a:ln>
                              </pic:spPr>
                            </pic:pic>
                          </a:graphicData>
                        </a:graphic>
                      </wp:inline>
                    </w:drawing>
                  </w:r>
                </w:p>
              </w:tc>
            </w:tr>
            <w:tr w:rsidR="006373FE" w:rsidRPr="006373FE" w14:paraId="25400B2E" w14:textId="77777777">
              <w:trPr>
                <w:tblCellSpacing w:w="0" w:type="dxa"/>
                <w:jc w:val="center"/>
              </w:trPr>
              <w:tc>
                <w:tcPr>
                  <w:tcW w:w="0" w:type="auto"/>
                  <w:tcMar>
                    <w:top w:w="225" w:type="dxa"/>
                    <w:left w:w="300" w:type="dxa"/>
                    <w:bottom w:w="450" w:type="dxa"/>
                    <w:right w:w="300" w:type="dxa"/>
                  </w:tcMar>
                  <w:vAlign w:val="center"/>
                  <w:hideMark/>
                </w:tcPr>
                <w:p w14:paraId="699571EA"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color w:val="000000"/>
                      <w:sz w:val="21"/>
                      <w:szCs w:val="21"/>
                      <w:lang w:eastAsia="cs-CZ"/>
                    </w:rPr>
                    <w:t>Počet útoků na klienty bank se za poslední dva roky zvýšil čtyřnásobně. Škody jdou do stovek milionů korun, na jednoho poškozeného klienta je to v průměru 161 500 korun. Jen za prvních sedm měsíců letošního roku byl počet útoků na klienty bank dvojnásobně vyšší než za celý loňský rok.</w:t>
                  </w:r>
                  <w:r w:rsidRPr="006373FE">
                    <w:rPr>
                      <w:rFonts w:ascii="Verdana" w:eastAsia="Times New Roman" w:hAnsi="Verdana" w:cs="Times New Roman"/>
                      <w:color w:val="000000"/>
                      <w:sz w:val="21"/>
                      <w:szCs w:val="21"/>
                      <w:lang w:eastAsia="cs-CZ"/>
                    </w:rPr>
                    <w:br/>
                    <w:t>Na dramatický růst počtu útoků zareagovala Česká bankovní asociace a ve spolupráci s orgány státní správy a klíčovými firmami českého byznysu odstartovala celonárodní vzdělávací kampaň #nePINdej!</w:t>
                  </w:r>
                  <w:r w:rsidRPr="006373FE">
                    <w:rPr>
                      <w:rFonts w:ascii="Verdana" w:eastAsia="Times New Roman" w:hAnsi="Verdana" w:cs="Times New Roman"/>
                      <w:color w:val="000000"/>
                      <w:sz w:val="21"/>
                      <w:szCs w:val="21"/>
                      <w:lang w:eastAsia="cs-CZ"/>
                    </w:rPr>
                    <w:br/>
                    <w:t>Klíčovým prvkem kampaně je interaktivní vzdělávací </w:t>
                  </w:r>
                  <w:proofErr w:type="spellStart"/>
                  <w:r w:rsidRPr="006373FE">
                    <w:rPr>
                      <w:rFonts w:ascii="Verdana" w:eastAsia="Times New Roman" w:hAnsi="Verdana" w:cs="Times New Roman"/>
                      <w:color w:val="000000"/>
                      <w:sz w:val="21"/>
                      <w:szCs w:val="21"/>
                      <w:lang w:eastAsia="cs-CZ"/>
                    </w:rPr>
                    <w:fldChar w:fldCharType="begin"/>
                  </w:r>
                  <w:r w:rsidRPr="006373FE">
                    <w:rPr>
                      <w:rFonts w:ascii="Verdana" w:eastAsia="Times New Roman" w:hAnsi="Verdana" w:cs="Times New Roman"/>
                      <w:color w:val="000000"/>
                      <w:sz w:val="21"/>
                      <w:szCs w:val="21"/>
                      <w:lang w:eastAsia="cs-CZ"/>
                    </w:rPr>
                    <w:instrText xml:space="preserve"> HYPERLINK "http://www.kybertest.cz/" </w:instrText>
                  </w:r>
                  <w:r w:rsidRPr="006373FE">
                    <w:rPr>
                      <w:rFonts w:ascii="Verdana" w:eastAsia="Times New Roman" w:hAnsi="Verdana" w:cs="Times New Roman"/>
                      <w:color w:val="000000"/>
                      <w:sz w:val="21"/>
                      <w:szCs w:val="21"/>
                      <w:lang w:eastAsia="cs-CZ"/>
                    </w:rPr>
                    <w:fldChar w:fldCharType="separate"/>
                  </w:r>
                  <w:r w:rsidRPr="006373FE">
                    <w:rPr>
                      <w:rFonts w:ascii="Verdana" w:eastAsia="Times New Roman" w:hAnsi="Verdana" w:cs="Times New Roman"/>
                      <w:color w:val="13576B"/>
                      <w:sz w:val="21"/>
                      <w:szCs w:val="21"/>
                      <w:u w:val="single"/>
                      <w:lang w:eastAsia="cs-CZ"/>
                    </w:rPr>
                    <w:t>Kybertest</w:t>
                  </w:r>
                  <w:proofErr w:type="spellEnd"/>
                  <w:r w:rsidRPr="006373FE">
                    <w:rPr>
                      <w:rFonts w:ascii="Verdana" w:eastAsia="Times New Roman" w:hAnsi="Verdana" w:cs="Times New Roman"/>
                      <w:color w:val="000000"/>
                      <w:sz w:val="21"/>
                      <w:szCs w:val="21"/>
                      <w:lang w:eastAsia="cs-CZ"/>
                    </w:rPr>
                    <w:fldChar w:fldCharType="end"/>
                  </w:r>
                  <w:r w:rsidRPr="006373FE">
                    <w:rPr>
                      <w:rFonts w:ascii="Verdana" w:eastAsia="Times New Roman" w:hAnsi="Verdana" w:cs="Times New Roman"/>
                      <w:color w:val="000000"/>
                      <w:sz w:val="21"/>
                      <w:szCs w:val="21"/>
                      <w:lang w:eastAsia="cs-CZ"/>
                    </w:rPr>
                    <w:t>, který zábavnou formou seznámí veřejnost s nejčastějšími kybernetickými podvody a naučí ji, jak je rozpoznat a jak jim nenaletět. </w:t>
                  </w:r>
                  <w:r w:rsidRPr="006373FE">
                    <w:rPr>
                      <w:rFonts w:ascii="Verdana" w:eastAsia="Times New Roman" w:hAnsi="Verdana" w:cs="Times New Roman"/>
                      <w:i/>
                      <w:iCs/>
                      <w:color w:val="000000"/>
                      <w:sz w:val="21"/>
                      <w:szCs w:val="21"/>
                      <w:lang w:eastAsia="cs-CZ"/>
                    </w:rPr>
                    <w:t>„Název #nePINdej! funguje jako slovní hříčka a je vtipnou výzvou, aby si lidé dávali pozor na své citlivé údaje a chránili své peníze ve světě internetu. Zároveň bude na sociálních sítích i v dalších kanálech aktivizovat veřejnost k tomu, aby si ve speciálně vytvořené online aplikaci otestovala své schopnosti obstát před kyberútoky,“</w:t>
                  </w:r>
                  <w:r w:rsidRPr="006373FE">
                    <w:rPr>
                      <w:rFonts w:ascii="Verdana" w:eastAsia="Times New Roman" w:hAnsi="Verdana" w:cs="Times New Roman"/>
                      <w:color w:val="000000"/>
                      <w:sz w:val="21"/>
                      <w:szCs w:val="21"/>
                      <w:lang w:eastAsia="cs-CZ"/>
                    </w:rPr>
                    <w:t> uvedla výkonná ředitelka ČBA Monika Zahálková.</w:t>
                  </w:r>
                  <w:r w:rsidRPr="006373FE">
                    <w:rPr>
                      <w:rFonts w:ascii="Verdana" w:eastAsia="Times New Roman" w:hAnsi="Verdana" w:cs="Times New Roman"/>
                      <w:color w:val="000000"/>
                      <w:sz w:val="21"/>
                      <w:szCs w:val="21"/>
                      <w:lang w:eastAsia="cs-CZ"/>
                    </w:rPr>
                    <w:br/>
                  </w:r>
                  <w:proofErr w:type="spellStart"/>
                  <w:r w:rsidRPr="006373FE">
                    <w:rPr>
                      <w:rFonts w:ascii="Verdana" w:eastAsia="Times New Roman" w:hAnsi="Verdana" w:cs="Times New Roman"/>
                      <w:color w:val="000000"/>
                      <w:sz w:val="21"/>
                      <w:szCs w:val="21"/>
                      <w:lang w:eastAsia="cs-CZ"/>
                    </w:rPr>
                    <w:t>Kybertest</w:t>
                  </w:r>
                  <w:proofErr w:type="spellEnd"/>
                  <w:r w:rsidRPr="006373FE">
                    <w:rPr>
                      <w:rFonts w:ascii="Verdana" w:eastAsia="Times New Roman" w:hAnsi="Verdana" w:cs="Times New Roman"/>
                      <w:color w:val="000000"/>
                      <w:sz w:val="21"/>
                      <w:szCs w:val="21"/>
                      <w:lang w:eastAsia="cs-CZ"/>
                    </w:rPr>
                    <w:t xml:space="preserve"> má několik variant, které simulují nejčastější podvodné praktiky dle různých věkových skupin. </w:t>
                  </w:r>
                  <w:r w:rsidRPr="006373FE">
                    <w:rPr>
                      <w:rFonts w:ascii="Verdana" w:eastAsia="Times New Roman" w:hAnsi="Verdana" w:cs="Times New Roman"/>
                      <w:i/>
                      <w:iCs/>
                      <w:color w:val="000000"/>
                      <w:sz w:val="21"/>
                      <w:szCs w:val="21"/>
                      <w:lang w:eastAsia="cs-CZ"/>
                    </w:rPr>
                    <w:t xml:space="preserve">„Jiné otázky se tedy generují pro teenagery, jiné pro seniory. Stejně tak jako útoky hackerů – jiné praktiky zkoušejí na </w:t>
                  </w:r>
                  <w:r w:rsidRPr="006373FE">
                    <w:rPr>
                      <w:rFonts w:ascii="Verdana" w:eastAsia="Times New Roman" w:hAnsi="Verdana" w:cs="Times New Roman"/>
                      <w:i/>
                      <w:iCs/>
                      <w:color w:val="000000"/>
                      <w:sz w:val="21"/>
                      <w:szCs w:val="21"/>
                      <w:lang w:eastAsia="cs-CZ"/>
                    </w:rPr>
                    <w:lastRenderedPageBreak/>
                    <w:t>mladší generaci, jiné pak na střední a jiné na nejstarší spoluobčany,“</w:t>
                  </w:r>
                  <w:r w:rsidRPr="006373FE">
                    <w:rPr>
                      <w:rFonts w:ascii="Verdana" w:eastAsia="Times New Roman" w:hAnsi="Verdana" w:cs="Times New Roman"/>
                      <w:color w:val="000000"/>
                      <w:sz w:val="21"/>
                      <w:szCs w:val="21"/>
                      <w:lang w:eastAsia="cs-CZ"/>
                    </w:rPr>
                    <w:t xml:space="preserve"> vysvětluje Tomáš Trachta, člen představenstva společnosti </w:t>
                  </w:r>
                  <w:proofErr w:type="spellStart"/>
                  <w:r w:rsidRPr="006373FE">
                    <w:rPr>
                      <w:rFonts w:ascii="Verdana" w:eastAsia="Times New Roman" w:hAnsi="Verdana" w:cs="Times New Roman"/>
                      <w:color w:val="000000"/>
                      <w:sz w:val="21"/>
                      <w:szCs w:val="21"/>
                      <w:lang w:eastAsia="cs-CZ"/>
                    </w:rPr>
                    <w:t>itego</w:t>
                  </w:r>
                  <w:proofErr w:type="spellEnd"/>
                  <w:r w:rsidRPr="006373FE">
                    <w:rPr>
                      <w:rFonts w:ascii="Verdana" w:eastAsia="Times New Roman" w:hAnsi="Verdana" w:cs="Times New Roman"/>
                      <w:color w:val="000000"/>
                      <w:sz w:val="21"/>
                      <w:szCs w:val="21"/>
                      <w:lang w:eastAsia="cs-CZ"/>
                    </w:rPr>
                    <w:t xml:space="preserve">, a.s., která pro ČBA </w:t>
                  </w:r>
                  <w:proofErr w:type="spellStart"/>
                  <w:r w:rsidRPr="006373FE">
                    <w:rPr>
                      <w:rFonts w:ascii="Verdana" w:eastAsia="Times New Roman" w:hAnsi="Verdana" w:cs="Times New Roman"/>
                      <w:color w:val="000000"/>
                      <w:sz w:val="21"/>
                      <w:szCs w:val="21"/>
                      <w:lang w:eastAsia="cs-CZ"/>
                    </w:rPr>
                    <w:t>Kybertest</w:t>
                  </w:r>
                  <w:proofErr w:type="spellEnd"/>
                  <w:r w:rsidRPr="006373FE">
                    <w:rPr>
                      <w:rFonts w:ascii="Verdana" w:eastAsia="Times New Roman" w:hAnsi="Verdana" w:cs="Times New Roman"/>
                      <w:color w:val="000000"/>
                      <w:sz w:val="21"/>
                      <w:szCs w:val="21"/>
                      <w:lang w:eastAsia="cs-CZ"/>
                    </w:rPr>
                    <w:t xml:space="preserve"> naprogramovala a úzce spolupracovala na realizaci celé kampaně. Po spuštění testu dostane každý jeho účastník virtuální peníze do „hry“, které musí před podvodnými útoky co nejlépe ochránit. Po každé otázce se lidé dozvědí správné řešení, mohou se z něj poučit a dalšímu simulovanému útoku následně nenaletět. </w:t>
                  </w:r>
                  <w:r w:rsidRPr="006373FE">
                    <w:rPr>
                      <w:rFonts w:ascii="Verdana" w:eastAsia="Times New Roman" w:hAnsi="Verdana" w:cs="Times New Roman"/>
                      <w:i/>
                      <w:iCs/>
                      <w:color w:val="000000"/>
                      <w:sz w:val="21"/>
                      <w:szCs w:val="21"/>
                      <w:lang w:eastAsia="cs-CZ"/>
                    </w:rPr>
                    <w:t>„Naším cílem není lidi nachytat a ukázat jim, jak špatně se v kyberprostoru pohybují. Naším cílem je především vzdělat a naučit co nejvíce občanů, jak praktiky podvodníků odhalit a jak se nenechat hackery okrást,“</w:t>
                  </w:r>
                  <w:r w:rsidRPr="006373FE">
                    <w:rPr>
                      <w:rFonts w:ascii="Verdana" w:eastAsia="Times New Roman" w:hAnsi="Verdana" w:cs="Times New Roman"/>
                      <w:color w:val="000000"/>
                      <w:sz w:val="21"/>
                      <w:szCs w:val="21"/>
                      <w:lang w:eastAsia="cs-CZ"/>
                    </w:rPr>
                    <w:t> vysvětluje Monika Zahálková.</w:t>
                  </w:r>
                  <w:r w:rsidRPr="006373FE">
                    <w:rPr>
                      <w:rFonts w:ascii="Verdana" w:eastAsia="Times New Roman" w:hAnsi="Verdana" w:cs="Times New Roman"/>
                      <w:color w:val="000000"/>
                      <w:sz w:val="21"/>
                      <w:szCs w:val="21"/>
                      <w:lang w:eastAsia="cs-CZ"/>
                    </w:rPr>
                    <w:br/>
                    <w:t xml:space="preserve">Kampaň #nePINdej! zcela jistě </w:t>
                  </w:r>
                  <w:proofErr w:type="gramStart"/>
                  <w:r w:rsidRPr="006373FE">
                    <w:rPr>
                      <w:rFonts w:ascii="Verdana" w:eastAsia="Times New Roman" w:hAnsi="Verdana" w:cs="Times New Roman"/>
                      <w:color w:val="000000"/>
                      <w:sz w:val="21"/>
                      <w:szCs w:val="21"/>
                      <w:lang w:eastAsia="cs-CZ"/>
                    </w:rPr>
                    <w:t>patří</w:t>
                  </w:r>
                  <w:proofErr w:type="gramEnd"/>
                  <w:r w:rsidRPr="006373FE">
                    <w:rPr>
                      <w:rFonts w:ascii="Verdana" w:eastAsia="Times New Roman" w:hAnsi="Verdana" w:cs="Times New Roman"/>
                      <w:color w:val="000000"/>
                      <w:sz w:val="21"/>
                      <w:szCs w:val="21"/>
                      <w:lang w:eastAsia="cs-CZ"/>
                    </w:rPr>
                    <w:t xml:space="preserve"> k nejrozsáhlejším kampaním v oblasti kyberbezpečnosti, které byly doposud realizovány. Unikátní je i to, že se do ní zapojily jak orgány státní správy, které se kyberbezpečností zabývají, tak klíčové firmy českého byznysu, jichž samotných nebo jejich klientů se podvodné útoky také týkají. Kromě České bankovní asociace, která je realizátorem projektu, jsou do kampaně zapojeny: Policie České republiky, Národní úřad pro kybernetickou a informační bezpečnost (NÚKIB), </w:t>
                  </w:r>
                  <w:proofErr w:type="spellStart"/>
                  <w:r w:rsidRPr="006373FE">
                    <w:rPr>
                      <w:rFonts w:ascii="Verdana" w:eastAsia="Times New Roman" w:hAnsi="Verdana" w:cs="Times New Roman"/>
                      <w:color w:val="000000"/>
                      <w:sz w:val="21"/>
                      <w:szCs w:val="21"/>
                      <w:lang w:eastAsia="cs-CZ"/>
                    </w:rPr>
                    <w:t>itego</w:t>
                  </w:r>
                  <w:proofErr w:type="spellEnd"/>
                  <w:r w:rsidRPr="006373FE">
                    <w:rPr>
                      <w:rFonts w:ascii="Verdana" w:eastAsia="Times New Roman" w:hAnsi="Verdana" w:cs="Times New Roman"/>
                      <w:color w:val="000000"/>
                      <w:sz w:val="21"/>
                      <w:szCs w:val="21"/>
                      <w:lang w:eastAsia="cs-CZ"/>
                    </w:rPr>
                    <w:t xml:space="preserve">, a.s., CISCO, Thein </w:t>
                  </w:r>
                  <w:proofErr w:type="spellStart"/>
                  <w:r w:rsidRPr="006373FE">
                    <w:rPr>
                      <w:rFonts w:ascii="Verdana" w:eastAsia="Times New Roman" w:hAnsi="Verdana" w:cs="Times New Roman"/>
                      <w:color w:val="000000"/>
                      <w:sz w:val="21"/>
                      <w:szCs w:val="21"/>
                      <w:lang w:eastAsia="cs-CZ"/>
                    </w:rPr>
                    <w:t>Security</w:t>
                  </w:r>
                  <w:proofErr w:type="spellEnd"/>
                  <w:r w:rsidRPr="006373FE">
                    <w:rPr>
                      <w:rFonts w:ascii="Verdana" w:eastAsia="Times New Roman" w:hAnsi="Verdana" w:cs="Times New Roman"/>
                      <w:color w:val="000000"/>
                      <w:sz w:val="21"/>
                      <w:szCs w:val="21"/>
                      <w:lang w:eastAsia="cs-CZ"/>
                    </w:rPr>
                    <w:t xml:space="preserve">, Česká pošta, ČEZ, Mastercard, O2 a České dráhy. Mediálními partnery jsou Česká televize (hlavní mediální partner), Seznam Zprávy, Deník a </w:t>
                  </w:r>
                  <w:proofErr w:type="spellStart"/>
                  <w:r w:rsidRPr="006373FE">
                    <w:rPr>
                      <w:rFonts w:ascii="Verdana" w:eastAsia="Times New Roman" w:hAnsi="Verdana" w:cs="Times New Roman"/>
                      <w:color w:val="000000"/>
                      <w:sz w:val="21"/>
                      <w:szCs w:val="21"/>
                      <w:lang w:eastAsia="cs-CZ"/>
                    </w:rPr>
                    <w:t>Cinestar</w:t>
                  </w:r>
                  <w:proofErr w:type="spellEnd"/>
                  <w:r w:rsidRPr="006373FE">
                    <w:rPr>
                      <w:rFonts w:ascii="Verdana" w:eastAsia="Times New Roman" w:hAnsi="Verdana" w:cs="Times New Roman"/>
                      <w:color w:val="000000"/>
                      <w:sz w:val="21"/>
                      <w:szCs w:val="21"/>
                      <w:lang w:eastAsia="cs-CZ"/>
                    </w:rPr>
                    <w:t>.</w:t>
                  </w:r>
                </w:p>
              </w:tc>
            </w:tr>
          </w:tbl>
          <w:p w14:paraId="24F9B024"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0319344A"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33FF030F" w14:textId="77777777">
              <w:trPr>
                <w:tblCellSpacing w:w="0" w:type="dxa"/>
                <w:jc w:val="center"/>
              </w:trPr>
              <w:tc>
                <w:tcPr>
                  <w:tcW w:w="0" w:type="auto"/>
                  <w:shd w:val="clear" w:color="auto" w:fill="A9936D"/>
                  <w:vAlign w:val="center"/>
                  <w:hideMark/>
                </w:tcPr>
                <w:p w14:paraId="50D26F27" w14:textId="1988085A"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lastRenderedPageBreak/>
                    <w:drawing>
                      <wp:inline distT="0" distB="0" distL="0" distR="0" wp14:anchorId="01FDA805" wp14:editId="5F13E6BF">
                        <wp:extent cx="5715000" cy="1905000"/>
                        <wp:effectExtent l="0" t="0" r="0" b="0"/>
                        <wp:docPr id="13" name="Obrázek 13" descr="Z t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trh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592532C2"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6AE9E623" w14:textId="77777777" w:rsidTr="006373FE">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6373FE" w:rsidRPr="006373FE" w14:paraId="571A5B4A" w14:textId="77777777">
              <w:trPr>
                <w:tblCellSpacing w:w="0" w:type="dxa"/>
                <w:jc w:val="center"/>
              </w:trPr>
              <w:tc>
                <w:tcPr>
                  <w:tcW w:w="0" w:type="auto"/>
                  <w:tcMar>
                    <w:top w:w="225" w:type="dxa"/>
                    <w:left w:w="300" w:type="dxa"/>
                    <w:bottom w:w="225" w:type="dxa"/>
                    <w:right w:w="300" w:type="dxa"/>
                  </w:tcMar>
                  <w:vAlign w:val="center"/>
                  <w:hideMark/>
                </w:tcPr>
                <w:p w14:paraId="78F7BF5D"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A9936D"/>
                      <w:sz w:val="24"/>
                      <w:szCs w:val="24"/>
                      <w:lang w:eastAsia="cs-CZ"/>
                    </w:rPr>
                    <w:t>Argumenty ve prospěch zdanění bank jsou často neúplné a jednostranné</w:t>
                  </w:r>
                  <w:r w:rsidRPr="006373FE">
                    <w:rPr>
                      <w:rFonts w:ascii="Verdana" w:eastAsia="Times New Roman" w:hAnsi="Verdana" w:cs="Times New Roman"/>
                      <w:color w:val="000000"/>
                      <w:sz w:val="21"/>
                      <w:szCs w:val="21"/>
                      <w:lang w:eastAsia="cs-CZ"/>
                    </w:rPr>
                    <w:br/>
                    <w:t> </w:t>
                  </w:r>
                </w:p>
                <w:p w14:paraId="537553BD"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color w:val="000000"/>
                      <w:sz w:val="21"/>
                      <w:szCs w:val="21"/>
                      <w:lang w:eastAsia="cs-CZ"/>
                    </w:rPr>
                    <w:t>Bankovní sektor rozumí obtížné situaci veřejných financí a debatu o podpoře ekonomiky proto vítá. Argumenty ve prospěch zdanění bankovního sektoru, a to buď formou sektorové daně, či nově tzv. „</w:t>
                  </w:r>
                  <w:proofErr w:type="spellStart"/>
                  <w:r w:rsidRPr="006373FE">
                    <w:rPr>
                      <w:rFonts w:ascii="Verdana" w:eastAsia="Times New Roman" w:hAnsi="Verdana" w:cs="Times New Roman"/>
                      <w:color w:val="000000"/>
                      <w:sz w:val="21"/>
                      <w:szCs w:val="21"/>
                      <w:lang w:eastAsia="cs-CZ"/>
                    </w:rPr>
                    <w:t>windfall</w:t>
                  </w:r>
                  <w:proofErr w:type="spellEnd"/>
                  <w:r w:rsidRPr="006373FE">
                    <w:rPr>
                      <w:rFonts w:ascii="Verdana" w:eastAsia="Times New Roman" w:hAnsi="Verdana" w:cs="Times New Roman"/>
                      <w:color w:val="000000"/>
                      <w:sz w:val="21"/>
                      <w:szCs w:val="21"/>
                      <w:lang w:eastAsia="cs-CZ"/>
                    </w:rPr>
                    <w:t xml:space="preserve"> tax“ (daně z mimořádných zisků), jsou ale často do velké míry jednostranné a neberou v úvahu veškeré relevantní informace.</w:t>
                  </w:r>
                  <w:r w:rsidRPr="006373FE">
                    <w:rPr>
                      <w:rFonts w:ascii="Verdana" w:eastAsia="Times New Roman" w:hAnsi="Verdana" w:cs="Times New Roman"/>
                      <w:color w:val="000000"/>
                      <w:sz w:val="21"/>
                      <w:szCs w:val="21"/>
                      <w:lang w:eastAsia="cs-CZ"/>
                    </w:rPr>
                    <w:br/>
                    <w:t xml:space="preserve">Bankovní sektor není příjemcem nadměrných zisků. Dvouciferný meziroční růst zisků v 1. pololetí 2022 je kromě vyšších úrokových sazeb dán také nízkou srovnávací základnou po pandemii, nákladovou </w:t>
                  </w:r>
                  <w:r w:rsidRPr="006373FE">
                    <w:rPr>
                      <w:rFonts w:ascii="Verdana" w:eastAsia="Times New Roman" w:hAnsi="Verdana" w:cs="Times New Roman"/>
                      <w:color w:val="000000"/>
                      <w:sz w:val="21"/>
                      <w:szCs w:val="21"/>
                      <w:lang w:eastAsia="cs-CZ"/>
                    </w:rPr>
                    <w:lastRenderedPageBreak/>
                    <w:t>optimalizací či větší velikostí sektoru jako takového. Z pohledu podílu zisků na aktiva však pokračuje mírně klesající trend posledních let. Více argumentů proti zdanění bank najedete </w:t>
                  </w:r>
                  <w:hyperlink r:id="rId9" w:history="1">
                    <w:r w:rsidRPr="006373FE">
                      <w:rPr>
                        <w:rFonts w:ascii="Verdana" w:eastAsia="Times New Roman" w:hAnsi="Verdana" w:cs="Times New Roman"/>
                        <w:color w:val="A9936D"/>
                        <w:sz w:val="21"/>
                        <w:szCs w:val="21"/>
                        <w:u w:val="single"/>
                        <w:lang w:eastAsia="cs-CZ"/>
                      </w:rPr>
                      <w:t>zde</w:t>
                    </w:r>
                  </w:hyperlink>
                  <w:r w:rsidRPr="006373FE">
                    <w:rPr>
                      <w:rFonts w:ascii="Verdana" w:eastAsia="Times New Roman" w:hAnsi="Verdana" w:cs="Times New Roman"/>
                      <w:color w:val="000000"/>
                      <w:sz w:val="21"/>
                      <w:szCs w:val="21"/>
                      <w:lang w:eastAsia="cs-CZ"/>
                    </w:rPr>
                    <w:t>.</w:t>
                  </w:r>
                </w:p>
              </w:tc>
            </w:tr>
            <w:tr w:rsidR="006373FE" w:rsidRPr="006373FE" w14:paraId="4240A101" w14:textId="77777777">
              <w:trPr>
                <w:tblCellSpacing w:w="0" w:type="dxa"/>
                <w:jc w:val="center"/>
              </w:trPr>
              <w:tc>
                <w:tcPr>
                  <w:tcW w:w="0" w:type="auto"/>
                  <w:tcMar>
                    <w:top w:w="225" w:type="dxa"/>
                    <w:left w:w="300" w:type="dxa"/>
                    <w:bottom w:w="225" w:type="dxa"/>
                    <w:right w:w="300" w:type="dxa"/>
                  </w:tcMar>
                  <w:vAlign w:val="center"/>
                  <w:hideMark/>
                </w:tcPr>
                <w:p w14:paraId="292D19B9"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A9936D"/>
                      <w:sz w:val="24"/>
                      <w:szCs w:val="24"/>
                      <w:lang w:eastAsia="cs-CZ"/>
                    </w:rPr>
                    <w:lastRenderedPageBreak/>
                    <w:t>Vklady i úvěry firem rostou, hlavně v cizí měně</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 xml:space="preserve">Ke konci července domácnosti zvýšily svoje vklady v bankách o 17 miliard korun, což představuje 0,5% meziměsíční nárůst, </w:t>
                  </w:r>
                  <w:proofErr w:type="gramStart"/>
                  <w:r w:rsidRPr="006373FE">
                    <w:rPr>
                      <w:rFonts w:ascii="Verdana" w:eastAsia="Times New Roman" w:hAnsi="Verdana" w:cs="Times New Roman"/>
                      <w:color w:val="000000"/>
                      <w:sz w:val="21"/>
                      <w:szCs w:val="21"/>
                      <w:lang w:eastAsia="cs-CZ"/>
                    </w:rPr>
                    <w:t>na  3,109</w:t>
                  </w:r>
                  <w:proofErr w:type="gramEnd"/>
                  <w:r w:rsidRPr="006373FE">
                    <w:rPr>
                      <w:rFonts w:ascii="Verdana" w:eastAsia="Times New Roman" w:hAnsi="Verdana" w:cs="Times New Roman"/>
                      <w:color w:val="000000"/>
                      <w:sz w:val="21"/>
                      <w:szCs w:val="21"/>
                      <w:lang w:eastAsia="cs-CZ"/>
                    </w:rPr>
                    <w:t xml:space="preserve"> bilionu korun. Mírný nárůst o 0,4 % zaznamenáváme i v případě celkového objemu úvěrů domácnostem na 2,011 bilionu korun. Výsledné saldo tak bezmála o sto miliard korun převyšuje hranici bilionu korun. Vyplynulo to </w:t>
                  </w:r>
                  <w:hyperlink r:id="rId10" w:tgtFrame="_blank" w:history="1">
                    <w:r w:rsidRPr="006373FE">
                      <w:rPr>
                        <w:rFonts w:ascii="Verdana" w:eastAsia="Times New Roman" w:hAnsi="Verdana" w:cs="Times New Roman"/>
                        <w:color w:val="A9936D"/>
                        <w:sz w:val="21"/>
                        <w:szCs w:val="21"/>
                        <w:u w:val="single"/>
                        <w:lang w:eastAsia="cs-CZ"/>
                      </w:rPr>
                      <w:t>z aktuálních statistik sestavovaných Českou národní bankou</w:t>
                    </w:r>
                  </w:hyperlink>
                  <w:r w:rsidRPr="006373FE">
                    <w:rPr>
                      <w:rFonts w:ascii="Verdana" w:eastAsia="Times New Roman" w:hAnsi="Verdana" w:cs="Times New Roman"/>
                      <w:color w:val="000000"/>
                      <w:sz w:val="21"/>
                      <w:szCs w:val="21"/>
                      <w:lang w:eastAsia="cs-CZ"/>
                    </w:rPr>
                    <w:t>. Živnostníci naopak rychlým tempem pokračují ve snižování objemu vkladů, které meziročně klesly již téměř o třicet miliard korun (více než 16 %), oproti předchozímu měsíci o více než 3,5 %, v absolutním vyjádření pak o necelých 5,5 miliardy korun. I tak zůstává převis vkladů nad úvěry se 106 miliardami korun velmi významný. Dalším pozoruhodným fenoménem, který sledujeme již od té doby, co na mezibankovním trhu začaly růst úrokové sazby, je snaha exportérů, kteří mají přirozenou ochranu proti kurzovým výkyvům, čerpat nízkoúročené půjčky v cizí měně. Jejich objem meziměsíčně stoupl v přepočtu na koruny o 34 miliard, což představuje celý nárůst objemu firemních úvěrů. Firmy zároveň na rozdíl od předchozích měsíců zvedaly i svoje vklady, proti červnu o 36 miliard korun, z toho polovina je opět v cizí měně.</w:t>
                  </w:r>
                </w:p>
              </w:tc>
            </w:tr>
            <w:tr w:rsidR="006373FE" w:rsidRPr="006373FE" w14:paraId="35C27893" w14:textId="77777777">
              <w:trPr>
                <w:tblCellSpacing w:w="0" w:type="dxa"/>
                <w:jc w:val="center"/>
              </w:trPr>
              <w:tc>
                <w:tcPr>
                  <w:tcW w:w="0" w:type="auto"/>
                  <w:tcMar>
                    <w:top w:w="225" w:type="dxa"/>
                    <w:left w:w="300" w:type="dxa"/>
                    <w:bottom w:w="225" w:type="dxa"/>
                    <w:right w:w="300" w:type="dxa"/>
                  </w:tcMar>
                  <w:vAlign w:val="center"/>
                  <w:hideMark/>
                </w:tcPr>
                <w:p w14:paraId="446D7230"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A9936D"/>
                      <w:sz w:val="24"/>
                      <w:szCs w:val="24"/>
                      <w:lang w:eastAsia="cs-CZ"/>
                    </w:rPr>
                    <w:t>Ministerstvo financí zlepšilo odhad růstu ekonomiky</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Ministerstvo financí v nové </w:t>
                  </w:r>
                  <w:hyperlink r:id="rId11" w:history="1">
                    <w:r w:rsidRPr="006373FE">
                      <w:rPr>
                        <w:rFonts w:ascii="Verdana" w:eastAsia="Times New Roman" w:hAnsi="Verdana" w:cs="Times New Roman"/>
                        <w:color w:val="A9936D"/>
                        <w:sz w:val="21"/>
                        <w:szCs w:val="21"/>
                        <w:u w:val="single"/>
                        <w:lang w:eastAsia="cs-CZ"/>
                      </w:rPr>
                      <w:t>makroekonomické predikci</w:t>
                    </w:r>
                  </w:hyperlink>
                  <w:r w:rsidRPr="006373FE">
                    <w:rPr>
                      <w:rFonts w:ascii="Verdana" w:eastAsia="Times New Roman" w:hAnsi="Verdana" w:cs="Times New Roman"/>
                      <w:color w:val="000000"/>
                      <w:sz w:val="21"/>
                      <w:szCs w:val="21"/>
                      <w:lang w:eastAsia="cs-CZ"/>
                    </w:rPr>
                    <w:t xml:space="preserve"> pro letošní rok zlepšilo odhad růstu ekonomiky na 2,2 % a pro příští rok odhad zhoršilo na 1,1 %. Zároveň by letos měla podle MF průměrná inflace činit 16,2 % a příští rok by měla klesnout na 8,8 %. Během zbytku letošního roku by se podle MF měla inflace přiblížit až ke 20 %. Letošní deficit veřejných financí odhaduje resort na 3,8 %. Ministr Zbyněk </w:t>
                  </w:r>
                  <w:proofErr w:type="spellStart"/>
                  <w:r w:rsidRPr="006373FE">
                    <w:rPr>
                      <w:rFonts w:ascii="Verdana" w:eastAsia="Times New Roman" w:hAnsi="Verdana" w:cs="Times New Roman"/>
                      <w:color w:val="000000"/>
                      <w:sz w:val="21"/>
                      <w:szCs w:val="21"/>
                      <w:lang w:eastAsia="cs-CZ"/>
                    </w:rPr>
                    <w:t>Stanjura</w:t>
                  </w:r>
                  <w:proofErr w:type="spellEnd"/>
                  <w:r w:rsidRPr="006373FE">
                    <w:rPr>
                      <w:rFonts w:ascii="Verdana" w:eastAsia="Times New Roman" w:hAnsi="Verdana" w:cs="Times New Roman"/>
                      <w:color w:val="000000"/>
                      <w:sz w:val="21"/>
                      <w:szCs w:val="21"/>
                      <w:lang w:eastAsia="cs-CZ"/>
                    </w:rPr>
                    <w:t xml:space="preserve"> tvrdí, že cílem je do konce volebního období stlačit deficit pod 3 % a tím vyhovět kritériím EU.</w:t>
                  </w:r>
                </w:p>
              </w:tc>
            </w:tr>
            <w:tr w:rsidR="006373FE" w:rsidRPr="006373FE" w14:paraId="732B3FCE" w14:textId="77777777">
              <w:trPr>
                <w:tblCellSpacing w:w="0" w:type="dxa"/>
                <w:jc w:val="center"/>
              </w:trPr>
              <w:tc>
                <w:tcPr>
                  <w:tcW w:w="0" w:type="auto"/>
                  <w:tcMar>
                    <w:top w:w="225" w:type="dxa"/>
                    <w:left w:w="300" w:type="dxa"/>
                    <w:bottom w:w="225" w:type="dxa"/>
                    <w:right w:w="300" w:type="dxa"/>
                  </w:tcMar>
                  <w:vAlign w:val="center"/>
                  <w:hideMark/>
                </w:tcPr>
                <w:p w14:paraId="009870C7"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A9936D"/>
                      <w:sz w:val="24"/>
                      <w:szCs w:val="24"/>
                      <w:lang w:eastAsia="cs-CZ"/>
                    </w:rPr>
                    <w:t>Důvěra v ekonomiku znovu klesla</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 xml:space="preserve">Srpnová důvěra v ekonomiku dále poklesla, zejména kvůli poklesu důvěry mezi podnikateli, zatímco u domácností se poprvé po téměř půlročním poklesu mírně důvěra zlepšila. Srpnový růst důvěry mezi </w:t>
                  </w:r>
                  <w:r w:rsidRPr="006373FE">
                    <w:rPr>
                      <w:rFonts w:ascii="Verdana" w:eastAsia="Times New Roman" w:hAnsi="Verdana" w:cs="Times New Roman"/>
                      <w:color w:val="000000"/>
                      <w:sz w:val="21"/>
                      <w:szCs w:val="21"/>
                      <w:lang w:eastAsia="cs-CZ"/>
                    </w:rPr>
                    <w:lastRenderedPageBreak/>
                    <w:t xml:space="preserve">domácnostmi byl však jen mírný a celkově tak důvěra domácností nadále </w:t>
                  </w:r>
                  <w:proofErr w:type="gramStart"/>
                  <w:r w:rsidRPr="006373FE">
                    <w:rPr>
                      <w:rFonts w:ascii="Verdana" w:eastAsia="Times New Roman" w:hAnsi="Verdana" w:cs="Times New Roman"/>
                      <w:color w:val="000000"/>
                      <w:sz w:val="21"/>
                      <w:szCs w:val="21"/>
                      <w:lang w:eastAsia="cs-CZ"/>
                    </w:rPr>
                    <w:t>patří</w:t>
                  </w:r>
                  <w:proofErr w:type="gramEnd"/>
                  <w:r w:rsidRPr="006373FE">
                    <w:rPr>
                      <w:rFonts w:ascii="Verdana" w:eastAsia="Times New Roman" w:hAnsi="Verdana" w:cs="Times New Roman"/>
                      <w:color w:val="000000"/>
                      <w:sz w:val="21"/>
                      <w:szCs w:val="21"/>
                      <w:lang w:eastAsia="cs-CZ"/>
                    </w:rPr>
                    <w:t xml:space="preserve"> mezi nejslabší od počátku sledování dat. Příznivou zprávou je pak skutečnost, že mezi domácnostmi citelněji poklesly obavy z růstu cen, které se dostaly na nejnižší hodnotu od ledna minulého roku. Mezi podnikateli důvěra klesla ve všech sledovaných segmentech, nejvýrazněji však ve stavebnictví, kde firmy očekávají pokles zaměstnanosti. Obecně firmy zhoršily hodnocení současné situace, stále však předpokládají zlepšení v příštích měsících. Více </w:t>
                  </w:r>
                  <w:hyperlink r:id="rId12" w:tgtFrame="_blank" w:history="1">
                    <w:r w:rsidRPr="006373FE">
                      <w:rPr>
                        <w:rFonts w:ascii="Verdana" w:eastAsia="Times New Roman" w:hAnsi="Verdana" w:cs="Times New Roman"/>
                        <w:color w:val="A9936D"/>
                        <w:sz w:val="21"/>
                        <w:szCs w:val="21"/>
                        <w:u w:val="single"/>
                        <w:lang w:eastAsia="cs-CZ"/>
                      </w:rPr>
                      <w:t>v komentáři Jakuba Seidlera</w:t>
                    </w:r>
                  </w:hyperlink>
                  <w:r w:rsidRPr="006373FE">
                    <w:rPr>
                      <w:rFonts w:ascii="Verdana" w:eastAsia="Times New Roman" w:hAnsi="Verdana" w:cs="Times New Roman"/>
                      <w:color w:val="000000"/>
                      <w:sz w:val="21"/>
                      <w:szCs w:val="21"/>
                      <w:lang w:eastAsia="cs-CZ"/>
                    </w:rPr>
                    <w:t>, hlavního ekonoma ČBA.</w:t>
                  </w:r>
                </w:p>
              </w:tc>
            </w:tr>
            <w:tr w:rsidR="006373FE" w:rsidRPr="006373FE" w14:paraId="594AAE70" w14:textId="77777777">
              <w:trPr>
                <w:tblCellSpacing w:w="0" w:type="dxa"/>
                <w:jc w:val="center"/>
              </w:trPr>
              <w:tc>
                <w:tcPr>
                  <w:tcW w:w="0" w:type="auto"/>
                  <w:tcMar>
                    <w:top w:w="225" w:type="dxa"/>
                    <w:left w:w="300" w:type="dxa"/>
                    <w:bottom w:w="225" w:type="dxa"/>
                    <w:right w:w="300" w:type="dxa"/>
                  </w:tcMar>
                  <w:vAlign w:val="center"/>
                  <w:hideMark/>
                </w:tcPr>
                <w:p w14:paraId="5D3BC6E9"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A9936D"/>
                      <w:sz w:val="24"/>
                      <w:szCs w:val="24"/>
                      <w:lang w:eastAsia="cs-CZ"/>
                    </w:rPr>
                    <w:lastRenderedPageBreak/>
                    <w:t>Eurozóna dosáhla rekordní inflace</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Vysoká inflace netrápí jen Česko, ale celý svět. A eurozóna není výjimkou. Míra inflace zde v srpnu dosáhla dalšího maxima. Meziroční tempo růstu spotřebitelských cen zrychlilo na 9,1 procenta z červencových 8,9 procenta. Odhad oznámil evropský statistický úřad </w:t>
                  </w:r>
                  <w:proofErr w:type="spellStart"/>
                  <w:r w:rsidRPr="006373FE">
                    <w:rPr>
                      <w:rFonts w:ascii="Verdana" w:eastAsia="Times New Roman" w:hAnsi="Verdana" w:cs="Times New Roman"/>
                      <w:color w:val="000000"/>
                      <w:sz w:val="21"/>
                      <w:szCs w:val="21"/>
                      <w:lang w:eastAsia="cs-CZ"/>
                    </w:rPr>
                    <w:fldChar w:fldCharType="begin"/>
                  </w:r>
                  <w:r w:rsidRPr="006373FE">
                    <w:rPr>
                      <w:rFonts w:ascii="Verdana" w:eastAsia="Times New Roman" w:hAnsi="Verdana" w:cs="Times New Roman"/>
                      <w:color w:val="000000"/>
                      <w:sz w:val="21"/>
                      <w:szCs w:val="21"/>
                      <w:lang w:eastAsia="cs-CZ"/>
                    </w:rPr>
                    <w:instrText xml:space="preserve"> HYPERLINK "https://ec.europa.eu/eurostat/documents/2995521/14675409/2-31082022-AP-EN.pdf/e4217618-3fbe-4f54-2a3a-21c72be44c53?t=1661863346094" </w:instrText>
                  </w:r>
                  <w:r w:rsidRPr="006373FE">
                    <w:rPr>
                      <w:rFonts w:ascii="Verdana" w:eastAsia="Times New Roman" w:hAnsi="Verdana" w:cs="Times New Roman"/>
                      <w:color w:val="000000"/>
                      <w:sz w:val="21"/>
                      <w:szCs w:val="21"/>
                      <w:lang w:eastAsia="cs-CZ"/>
                    </w:rPr>
                    <w:fldChar w:fldCharType="separate"/>
                  </w:r>
                  <w:r w:rsidRPr="006373FE">
                    <w:rPr>
                      <w:rFonts w:ascii="Verdana" w:eastAsia="Times New Roman" w:hAnsi="Verdana" w:cs="Times New Roman"/>
                      <w:color w:val="A9936D"/>
                      <w:sz w:val="21"/>
                      <w:szCs w:val="21"/>
                      <w:u w:val="single"/>
                      <w:lang w:eastAsia="cs-CZ"/>
                    </w:rPr>
                    <w:t>Eurostat</w:t>
                  </w:r>
                  <w:proofErr w:type="spellEnd"/>
                  <w:r w:rsidRPr="006373FE">
                    <w:rPr>
                      <w:rFonts w:ascii="Verdana" w:eastAsia="Times New Roman" w:hAnsi="Verdana" w:cs="Times New Roman"/>
                      <w:color w:val="000000"/>
                      <w:sz w:val="21"/>
                      <w:szCs w:val="21"/>
                      <w:lang w:eastAsia="cs-CZ"/>
                    </w:rPr>
                    <w:fldChar w:fldCharType="end"/>
                  </w:r>
                  <w:r w:rsidRPr="006373FE">
                    <w:rPr>
                      <w:rFonts w:ascii="Verdana" w:eastAsia="Times New Roman" w:hAnsi="Verdana" w:cs="Times New Roman"/>
                      <w:color w:val="000000"/>
                      <w:sz w:val="21"/>
                      <w:szCs w:val="21"/>
                      <w:lang w:eastAsia="cs-CZ"/>
                    </w:rPr>
                    <w:t xml:space="preserve">. Srpen je tak devátým měsícem v řadě, kdy inflace výrazně roste. Podle </w:t>
                  </w:r>
                  <w:proofErr w:type="spellStart"/>
                  <w:r w:rsidRPr="006373FE">
                    <w:rPr>
                      <w:rFonts w:ascii="Verdana" w:eastAsia="Times New Roman" w:hAnsi="Verdana" w:cs="Times New Roman"/>
                      <w:color w:val="000000"/>
                      <w:sz w:val="21"/>
                      <w:szCs w:val="21"/>
                      <w:lang w:eastAsia="cs-CZ"/>
                    </w:rPr>
                    <w:t>Eurostatu</w:t>
                  </w:r>
                  <w:proofErr w:type="spellEnd"/>
                  <w:r w:rsidRPr="006373FE">
                    <w:rPr>
                      <w:rFonts w:ascii="Verdana" w:eastAsia="Times New Roman" w:hAnsi="Verdana" w:cs="Times New Roman"/>
                      <w:color w:val="000000"/>
                      <w:sz w:val="21"/>
                      <w:szCs w:val="21"/>
                      <w:lang w:eastAsia="cs-CZ"/>
                    </w:rPr>
                    <w:t xml:space="preserve"> je hlavní hnací silou vysoké inflace současná krize na Ukrajině, která se promítla do cen potravin a energií, které za poslední měsíc vzrostly o několik desítek procent.</w:t>
                  </w:r>
                </w:p>
              </w:tc>
            </w:tr>
          </w:tbl>
          <w:p w14:paraId="2112D7B4"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05BB81CD" w14:textId="77777777" w:rsidTr="006373FE">
        <w:trPr>
          <w:tblCellSpacing w:w="0" w:type="dxa"/>
        </w:trPr>
        <w:tc>
          <w:tcPr>
            <w:tcW w:w="0" w:type="auto"/>
            <w:shd w:val="clear" w:color="auto" w:fill="FFFFFF"/>
            <w:tcMar>
              <w:top w:w="450" w:type="dxa"/>
              <w:left w:w="0" w:type="dxa"/>
              <w:bottom w:w="975"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5BB27C28" w14:textId="77777777">
              <w:trPr>
                <w:tblCellSpacing w:w="0" w:type="dxa"/>
                <w:jc w:val="center"/>
              </w:trPr>
              <w:tc>
                <w:tcPr>
                  <w:tcW w:w="0" w:type="auto"/>
                  <w:vAlign w:val="center"/>
                  <w:hideMark/>
                </w:tcPr>
                <w:p w14:paraId="2A2EAD13" w14:textId="3A513203"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lastRenderedPageBreak/>
                    <w:drawing>
                      <wp:inline distT="0" distB="0" distL="0" distR="0" wp14:anchorId="7B237B5D" wp14:editId="12FE2153">
                        <wp:extent cx="5715000" cy="29527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52750"/>
                                </a:xfrm>
                                <a:prstGeom prst="rect">
                                  <a:avLst/>
                                </a:prstGeom>
                                <a:noFill/>
                                <a:ln>
                                  <a:noFill/>
                                </a:ln>
                              </pic:spPr>
                            </pic:pic>
                          </a:graphicData>
                        </a:graphic>
                      </wp:inline>
                    </w:drawing>
                  </w:r>
                </w:p>
              </w:tc>
            </w:tr>
          </w:tbl>
          <w:p w14:paraId="6951E498"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32A6EDAD"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1762DA11" w14:textId="77777777">
              <w:trPr>
                <w:tblCellSpacing w:w="0" w:type="dxa"/>
                <w:jc w:val="center"/>
              </w:trPr>
              <w:tc>
                <w:tcPr>
                  <w:tcW w:w="0" w:type="auto"/>
                  <w:shd w:val="clear" w:color="auto" w:fill="13576B"/>
                  <w:vAlign w:val="center"/>
                  <w:hideMark/>
                </w:tcPr>
                <w:p w14:paraId="056F3C24" w14:textId="15D55167"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lastRenderedPageBreak/>
                    <w:drawing>
                      <wp:inline distT="0" distB="0" distL="0" distR="0" wp14:anchorId="1B409DCB" wp14:editId="26E76333">
                        <wp:extent cx="5715000" cy="1905000"/>
                        <wp:effectExtent l="0" t="0" r="0" b="0"/>
                        <wp:docPr id="11" name="Obrázek 11" descr="Z legisl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legislativ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46547F5D"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649BA47D" w14:textId="77777777" w:rsidTr="006373FE">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6373FE" w:rsidRPr="006373FE" w14:paraId="0AD040F9" w14:textId="77777777">
              <w:trPr>
                <w:tblCellSpacing w:w="0" w:type="dxa"/>
                <w:jc w:val="center"/>
              </w:trPr>
              <w:tc>
                <w:tcPr>
                  <w:tcW w:w="0" w:type="auto"/>
                  <w:tcMar>
                    <w:top w:w="225" w:type="dxa"/>
                    <w:left w:w="300" w:type="dxa"/>
                    <w:bottom w:w="225" w:type="dxa"/>
                    <w:right w:w="300" w:type="dxa"/>
                  </w:tcMar>
                  <w:vAlign w:val="center"/>
                  <w:hideMark/>
                </w:tcPr>
                <w:p w14:paraId="48F8C5FC" w14:textId="0CDEBCED"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0" wp14:anchorId="78FDEDFF" wp14:editId="08F728A3">
                        <wp:simplePos x="0" y="0"/>
                        <wp:positionH relativeFrom="column">
                          <wp:align>left</wp:align>
                        </wp:positionH>
                        <wp:positionV relativeFrom="line">
                          <wp:posOffset>0</wp:posOffset>
                        </wp:positionV>
                        <wp:extent cx="1009650" cy="1009650"/>
                        <wp:effectExtent l="0" t="0" r="0" b="0"/>
                        <wp:wrapSquare wrapText="bothSides"/>
                        <wp:docPr id="17" name="Obráze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3FE">
                    <w:rPr>
                      <w:rFonts w:ascii="Verdana" w:eastAsia="Times New Roman" w:hAnsi="Verdana" w:cs="Times New Roman"/>
                      <w:b/>
                      <w:bCs/>
                      <w:color w:val="13576B"/>
                      <w:sz w:val="24"/>
                      <w:szCs w:val="24"/>
                      <w:lang w:eastAsia="cs-CZ"/>
                    </w:rPr>
                    <w:t>Vláda odmítla povinné zřizování účtu pro firmy</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r>
                  <w:hyperlink r:id="rId16" w:history="1">
                    <w:r w:rsidRPr="006373FE">
                      <w:rPr>
                        <w:rFonts w:ascii="Verdana" w:eastAsia="Times New Roman" w:hAnsi="Verdana" w:cs="Times New Roman"/>
                        <w:color w:val="13576B"/>
                        <w:sz w:val="21"/>
                        <w:szCs w:val="21"/>
                        <w:u w:val="single"/>
                        <w:lang w:eastAsia="cs-CZ"/>
                      </w:rPr>
                      <w:t>Vláda</w:t>
                    </w:r>
                  </w:hyperlink>
                  <w:r w:rsidRPr="006373FE">
                    <w:rPr>
                      <w:rFonts w:ascii="Verdana" w:eastAsia="Times New Roman" w:hAnsi="Verdana" w:cs="Times New Roman"/>
                      <w:color w:val="000000"/>
                      <w:sz w:val="21"/>
                      <w:szCs w:val="21"/>
                      <w:lang w:eastAsia="cs-CZ"/>
                    </w:rPr>
                    <w:t xml:space="preserve"> odmítla návrh poslanců ANO na uzákonění povinnosti bank poskytovat takzvaný základní platební účet i firmám a všem dalším právnickým osobám. Podle kabinetu tento návrh zásadně zasahuje do zaručené smluvní volnosti peněžních ústavů a mohl by rozšířit prostor pro finanční kriminalitu. K dalšímu projednávání v Parlamentu tak vláda zákonodárcům pošle k novele zákona o platebním styku nesouhlasné stanovisko. Povinnost zřizovat základní platební účet se dosud vztahuje pouze na účty pro spotřebitele, což také na rozdíl od povinnosti zřizovat základní platební účet právnickým osobám vyplývá z příslušné evropské směrnice. Vláda mimo jiné soudí, že o zřízení základního účtu by mohly žádat jakékoli firmy z Evropské unie, tedy i společnosti s nejasným či rizikovým předmětem podnikání. Mohly by mezi nimi být podle mínění vlády i takzvané skořápkové firmy, které </w:t>
                  </w:r>
                  <w:proofErr w:type="gramStart"/>
                  <w:r w:rsidRPr="006373FE">
                    <w:rPr>
                      <w:rFonts w:ascii="Verdana" w:eastAsia="Times New Roman" w:hAnsi="Verdana" w:cs="Times New Roman"/>
                      <w:color w:val="000000"/>
                      <w:sz w:val="21"/>
                      <w:szCs w:val="21"/>
                      <w:lang w:eastAsia="cs-CZ"/>
                    </w:rPr>
                    <w:t>slouží</w:t>
                  </w:r>
                  <w:proofErr w:type="gramEnd"/>
                  <w:r w:rsidRPr="006373FE">
                    <w:rPr>
                      <w:rFonts w:ascii="Verdana" w:eastAsia="Times New Roman" w:hAnsi="Verdana" w:cs="Times New Roman"/>
                      <w:color w:val="000000"/>
                      <w:sz w:val="21"/>
                      <w:szCs w:val="21"/>
                      <w:lang w:eastAsia="cs-CZ"/>
                    </w:rPr>
                    <w:t xml:space="preserve"> jen k přesunům peněz, v některých případech nelegálním. Návrh by tedy vytvořil prostor pro zranitelnost českého finančního sektoru ve vztahu k tuzemské i zahraniční finanční kriminalitě.</w:t>
                  </w:r>
                </w:p>
              </w:tc>
            </w:tr>
          </w:tbl>
          <w:p w14:paraId="72593D90"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1CAD766D"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68A785E7" w14:textId="77777777">
              <w:trPr>
                <w:tblCellSpacing w:w="0" w:type="dxa"/>
                <w:jc w:val="center"/>
              </w:trPr>
              <w:tc>
                <w:tcPr>
                  <w:tcW w:w="0" w:type="auto"/>
                  <w:shd w:val="clear" w:color="auto" w:fill="A9936D"/>
                  <w:vAlign w:val="center"/>
                  <w:hideMark/>
                </w:tcPr>
                <w:p w14:paraId="42022DE5" w14:textId="148D8190"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drawing>
                      <wp:inline distT="0" distB="0" distL="0" distR="0" wp14:anchorId="18F23AA8" wp14:editId="29FE1C39">
                        <wp:extent cx="5715000" cy="1905000"/>
                        <wp:effectExtent l="0" t="0" r="0" b="0"/>
                        <wp:docPr id="10" name="Obrázek 10" descr="Finanč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nční vzdělávání"/>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7DC8D557"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033CD14C" w14:textId="77777777" w:rsidTr="006373FE">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6373FE" w:rsidRPr="006373FE" w14:paraId="61F11932" w14:textId="77777777">
              <w:trPr>
                <w:tblCellSpacing w:w="0" w:type="dxa"/>
                <w:jc w:val="center"/>
              </w:trPr>
              <w:tc>
                <w:tcPr>
                  <w:tcW w:w="0" w:type="auto"/>
                  <w:tcMar>
                    <w:top w:w="225" w:type="dxa"/>
                    <w:left w:w="300" w:type="dxa"/>
                    <w:bottom w:w="225" w:type="dxa"/>
                    <w:right w:w="300" w:type="dxa"/>
                  </w:tcMar>
                  <w:vAlign w:val="center"/>
                  <w:hideMark/>
                </w:tcPr>
                <w:p w14:paraId="45A4E4FA" w14:textId="6353C865"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Times New Roman" w:eastAsia="Times New Roman" w:hAnsi="Times New Roman" w:cs="Times New Roman"/>
                      <w:noProof/>
                      <w:sz w:val="20"/>
                      <w:szCs w:val="20"/>
                      <w:lang w:eastAsia="cs-CZ"/>
                    </w:rPr>
                    <w:lastRenderedPageBreak/>
                    <w:drawing>
                      <wp:anchor distT="0" distB="0" distL="0" distR="0" simplePos="0" relativeHeight="251658240" behindDoc="0" locked="0" layoutInCell="1" allowOverlap="0" wp14:anchorId="40A04008" wp14:editId="761D7664">
                        <wp:simplePos x="0" y="0"/>
                        <wp:positionH relativeFrom="column">
                          <wp:align>right</wp:align>
                        </wp:positionH>
                        <wp:positionV relativeFrom="line">
                          <wp:posOffset>0</wp:posOffset>
                        </wp:positionV>
                        <wp:extent cx="2476500" cy="638175"/>
                        <wp:effectExtent l="0" t="0" r="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3FE">
                    <w:rPr>
                      <w:rFonts w:ascii="Verdana" w:eastAsia="Times New Roman" w:hAnsi="Verdana" w:cs="Times New Roman"/>
                      <w:b/>
                      <w:bCs/>
                      <w:color w:val="A9936D"/>
                      <w:sz w:val="24"/>
                      <w:szCs w:val="24"/>
                      <w:lang w:eastAsia="cs-CZ"/>
                    </w:rPr>
                    <w:t>Jak správně řídit firmu? Dozvíte se v novém vzdělávacím programu ČBA</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 xml:space="preserve">Úspěšnou organizaci </w:t>
                  </w:r>
                  <w:proofErr w:type="gramStart"/>
                  <w:r w:rsidRPr="006373FE">
                    <w:rPr>
                      <w:rFonts w:ascii="Verdana" w:eastAsia="Times New Roman" w:hAnsi="Verdana" w:cs="Times New Roman"/>
                      <w:color w:val="000000"/>
                      <w:sz w:val="21"/>
                      <w:szCs w:val="21"/>
                      <w:lang w:eastAsia="cs-CZ"/>
                    </w:rPr>
                    <w:t>utváří</w:t>
                  </w:r>
                  <w:proofErr w:type="gramEnd"/>
                  <w:r w:rsidRPr="006373FE">
                    <w:rPr>
                      <w:rFonts w:ascii="Verdana" w:eastAsia="Times New Roman" w:hAnsi="Verdana" w:cs="Times New Roman"/>
                      <w:color w:val="000000"/>
                      <w:sz w:val="21"/>
                      <w:szCs w:val="21"/>
                      <w:lang w:eastAsia="cs-CZ"/>
                    </w:rPr>
                    <w:t xml:space="preserve"> správně nastavené principy řízení a její správy. Česká bankovní asociace proto spouští nový vzdělávací program </w:t>
                  </w:r>
                  <w:proofErr w:type="spellStart"/>
                  <w:r w:rsidRPr="006373FE">
                    <w:rPr>
                      <w:rFonts w:ascii="Verdana" w:eastAsia="Times New Roman" w:hAnsi="Verdana" w:cs="Times New Roman"/>
                      <w:color w:val="000000"/>
                      <w:sz w:val="21"/>
                      <w:szCs w:val="21"/>
                      <w:lang w:eastAsia="cs-CZ"/>
                    </w:rPr>
                    <w:t>Corporate</w:t>
                  </w:r>
                  <w:proofErr w:type="spellEnd"/>
                  <w:r w:rsidRPr="006373FE">
                    <w:rPr>
                      <w:rFonts w:ascii="Verdana" w:eastAsia="Times New Roman" w:hAnsi="Verdana" w:cs="Times New Roman"/>
                      <w:color w:val="000000"/>
                      <w:sz w:val="21"/>
                      <w:szCs w:val="21"/>
                      <w:lang w:eastAsia="cs-CZ"/>
                    </w:rPr>
                    <w:t xml:space="preserve"> </w:t>
                  </w:r>
                  <w:proofErr w:type="spellStart"/>
                  <w:r w:rsidRPr="006373FE">
                    <w:rPr>
                      <w:rFonts w:ascii="Verdana" w:eastAsia="Times New Roman" w:hAnsi="Verdana" w:cs="Times New Roman"/>
                      <w:color w:val="000000"/>
                      <w:sz w:val="21"/>
                      <w:szCs w:val="21"/>
                      <w:lang w:eastAsia="cs-CZ"/>
                    </w:rPr>
                    <w:t>governance</w:t>
                  </w:r>
                  <w:proofErr w:type="spellEnd"/>
                  <w:r w:rsidRPr="006373FE">
                    <w:rPr>
                      <w:rFonts w:ascii="Verdana" w:eastAsia="Times New Roman" w:hAnsi="Verdana" w:cs="Times New Roman"/>
                      <w:color w:val="000000"/>
                      <w:sz w:val="21"/>
                      <w:szCs w:val="21"/>
                      <w:lang w:eastAsia="cs-CZ"/>
                    </w:rPr>
                    <w:t xml:space="preserve">, který se zaměřuje na rozvoj dovedností právě v těchto oblastech.  Program </w:t>
                  </w:r>
                  <w:proofErr w:type="gramStart"/>
                  <w:r w:rsidRPr="006373FE">
                    <w:rPr>
                      <w:rFonts w:ascii="Verdana" w:eastAsia="Times New Roman" w:hAnsi="Verdana" w:cs="Times New Roman"/>
                      <w:color w:val="000000"/>
                      <w:sz w:val="21"/>
                      <w:szCs w:val="21"/>
                      <w:lang w:eastAsia="cs-CZ"/>
                    </w:rPr>
                    <w:t>tvoří</w:t>
                  </w:r>
                  <w:proofErr w:type="gramEnd"/>
                  <w:r w:rsidRPr="006373FE">
                    <w:rPr>
                      <w:rFonts w:ascii="Verdana" w:eastAsia="Times New Roman" w:hAnsi="Verdana" w:cs="Times New Roman"/>
                      <w:color w:val="000000"/>
                      <w:sz w:val="21"/>
                      <w:szCs w:val="21"/>
                      <w:lang w:eastAsia="cs-CZ"/>
                    </w:rPr>
                    <w:t xml:space="preserve"> šest modulů, během nichž se přední čeští byznysmeni a manažeři podělí o své zkušenosti a poskytnou informace, které jsou nezbytné pro řádný výkon ve funkci člena správního orgánu anebo v různých manažerských pozicích či profesích. Program startuje 11. října, přihlášky a více informací najdete </w:t>
                  </w:r>
                  <w:hyperlink r:id="rId19" w:history="1">
                    <w:r w:rsidRPr="006373FE">
                      <w:rPr>
                        <w:rFonts w:ascii="Verdana" w:eastAsia="Times New Roman" w:hAnsi="Verdana" w:cs="Times New Roman"/>
                        <w:color w:val="A9936D"/>
                        <w:sz w:val="21"/>
                        <w:szCs w:val="21"/>
                        <w:u w:val="single"/>
                        <w:lang w:eastAsia="cs-CZ"/>
                      </w:rPr>
                      <w:t>zde</w:t>
                    </w:r>
                  </w:hyperlink>
                  <w:r w:rsidRPr="006373FE">
                    <w:rPr>
                      <w:rFonts w:ascii="Verdana" w:eastAsia="Times New Roman" w:hAnsi="Verdana" w:cs="Times New Roman"/>
                      <w:color w:val="000000"/>
                      <w:sz w:val="21"/>
                      <w:szCs w:val="21"/>
                      <w:lang w:eastAsia="cs-CZ"/>
                    </w:rPr>
                    <w:t>.</w:t>
                  </w:r>
                </w:p>
              </w:tc>
            </w:tr>
          </w:tbl>
          <w:p w14:paraId="79606CDA"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56018D6A" w14:textId="77777777" w:rsidTr="006373FE">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67728437" w14:textId="77777777">
              <w:trPr>
                <w:tblCellSpacing w:w="0" w:type="dxa"/>
                <w:jc w:val="center"/>
              </w:trPr>
              <w:tc>
                <w:tcPr>
                  <w:tcW w:w="0" w:type="auto"/>
                  <w:shd w:val="clear" w:color="auto" w:fill="13576B"/>
                  <w:vAlign w:val="center"/>
                  <w:hideMark/>
                </w:tcPr>
                <w:p w14:paraId="4F360BE1" w14:textId="269223C5"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drawing>
                      <wp:inline distT="0" distB="0" distL="0" distR="0" wp14:anchorId="1FC10491" wp14:editId="43F84594">
                        <wp:extent cx="5715000" cy="1905000"/>
                        <wp:effectExtent l="0" t="0" r="0" b="0"/>
                        <wp:docPr id="9" name="Obrázek 9" descr="T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é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2F471BC8"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6A3AEB7A" w14:textId="77777777" w:rsidTr="006373FE">
        <w:trPr>
          <w:tblCellSpacing w:w="0" w:type="dxa"/>
        </w:trPr>
        <w:tc>
          <w:tcPr>
            <w:tcW w:w="0" w:type="auto"/>
            <w:shd w:val="clear" w:color="auto" w:fill="FFFFFF"/>
            <w:tcMar>
              <w:top w:w="225" w:type="dxa"/>
              <w:left w:w="0" w:type="dxa"/>
              <w:bottom w:w="225" w:type="dxa"/>
              <w:right w:w="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6373FE" w:rsidRPr="006373FE" w14:paraId="186141E5" w14:textId="77777777">
              <w:trPr>
                <w:tblCellSpacing w:w="0" w:type="dxa"/>
                <w:jc w:val="center"/>
              </w:trPr>
              <w:tc>
                <w:tcPr>
                  <w:tcW w:w="0" w:type="auto"/>
                  <w:tcMar>
                    <w:top w:w="225" w:type="dxa"/>
                    <w:left w:w="300" w:type="dxa"/>
                    <w:bottom w:w="225" w:type="dxa"/>
                    <w:right w:w="300" w:type="dxa"/>
                  </w:tcMar>
                  <w:vAlign w:val="center"/>
                  <w:hideMark/>
                </w:tcPr>
                <w:p w14:paraId="149AF979"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b/>
                      <w:bCs/>
                      <w:color w:val="13576B"/>
                      <w:sz w:val="24"/>
                      <w:szCs w:val="24"/>
                      <w:lang w:eastAsia="cs-CZ"/>
                    </w:rPr>
                    <w:t>Útoky v kyberprostoru rostou raketovým tempem</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b/>
                      <w:bCs/>
                      <w:color w:val="13576B"/>
                      <w:sz w:val="21"/>
                      <w:szCs w:val="21"/>
                      <w:lang w:eastAsia="cs-CZ"/>
                    </w:rPr>
                    <w:t>Počet útoků na klienty bank, občany, ale i firmy strmě roste. Narůstající škody registrují banky i policisté. Podvodná jednání mohou mít desítky nejrůznějších scénářů a podob a cílí prakticky na všechny věkové skupiny.</w:t>
                  </w:r>
                </w:p>
              </w:tc>
            </w:tr>
            <w:tr w:rsidR="006373FE" w:rsidRPr="006373FE" w14:paraId="66A1C97D" w14:textId="77777777">
              <w:trPr>
                <w:tblCellSpacing w:w="0" w:type="dxa"/>
                <w:jc w:val="center"/>
              </w:trPr>
              <w:tc>
                <w:tcPr>
                  <w:tcW w:w="0" w:type="auto"/>
                  <w:tcMar>
                    <w:top w:w="225" w:type="dxa"/>
                    <w:left w:w="300" w:type="dxa"/>
                    <w:bottom w:w="225" w:type="dxa"/>
                    <w:right w:w="300" w:type="dxa"/>
                  </w:tcMar>
                  <w:vAlign w:val="center"/>
                  <w:hideMark/>
                </w:tcPr>
                <w:p w14:paraId="6629A4BD" w14:textId="77777777" w:rsidR="006373FE" w:rsidRPr="006373FE" w:rsidRDefault="006373FE" w:rsidP="006373FE">
                  <w:pPr>
                    <w:spacing w:after="0" w:line="330" w:lineRule="atLeast"/>
                    <w:rPr>
                      <w:rFonts w:ascii="Verdana" w:eastAsia="Times New Roman" w:hAnsi="Verdana" w:cs="Times New Roman"/>
                      <w:color w:val="000000"/>
                      <w:sz w:val="21"/>
                      <w:szCs w:val="21"/>
                      <w:lang w:eastAsia="cs-CZ"/>
                    </w:rPr>
                  </w:pPr>
                  <w:r w:rsidRPr="006373FE">
                    <w:rPr>
                      <w:rFonts w:ascii="Verdana" w:eastAsia="Times New Roman" w:hAnsi="Verdana" w:cs="Times New Roman"/>
                      <w:color w:val="000000"/>
                      <w:sz w:val="21"/>
                      <w:szCs w:val="21"/>
                      <w:lang w:eastAsia="cs-CZ"/>
                    </w:rPr>
                    <w:t xml:space="preserve">Největší procento kybernetických útoků (téměř 40 %) směřuje do veřejného sektoru, soukromé sféry (21 %) a zdravotnictví (17 %). I když finanční segment </w:t>
                  </w:r>
                  <w:proofErr w:type="gramStart"/>
                  <w:r w:rsidRPr="006373FE">
                    <w:rPr>
                      <w:rFonts w:ascii="Verdana" w:eastAsia="Times New Roman" w:hAnsi="Verdana" w:cs="Times New Roman"/>
                      <w:color w:val="000000"/>
                      <w:sz w:val="21"/>
                      <w:szCs w:val="21"/>
                      <w:lang w:eastAsia="cs-CZ"/>
                    </w:rPr>
                    <w:t>patří</w:t>
                  </w:r>
                  <w:proofErr w:type="gramEnd"/>
                  <w:r w:rsidRPr="006373FE">
                    <w:rPr>
                      <w:rFonts w:ascii="Verdana" w:eastAsia="Times New Roman" w:hAnsi="Verdana" w:cs="Times New Roman"/>
                      <w:color w:val="000000"/>
                      <w:sz w:val="21"/>
                      <w:szCs w:val="21"/>
                      <w:lang w:eastAsia="cs-CZ"/>
                    </w:rPr>
                    <w:t xml:space="preserve"> z hlediska podílu na celkovém počtu útoků k těm méně zasaženým, jde o citlivou oblast, protože případné škody se přímo dotýkají úspor obyvatel.</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b/>
                      <w:bCs/>
                      <w:color w:val="13576B"/>
                      <w:sz w:val="21"/>
                      <w:szCs w:val="21"/>
                      <w:lang w:eastAsia="cs-CZ"/>
                    </w:rPr>
                    <w:t>Banky do bezpečnosti masivně investují</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 xml:space="preserve">Český finanční sektor patří k nejlépe zabezpečeným. Podle zprávy Národního úřadu kybernetické a informační bezpečnosti za rok 2021 investují banky ve srovnání s jinými institucemi do kyberbezpečnosti nejvyšší procento ze svých rozpočtů a 43 % z nich dokonce plánují letos </w:t>
                  </w:r>
                  <w:r w:rsidRPr="006373FE">
                    <w:rPr>
                      <w:rFonts w:ascii="Verdana" w:eastAsia="Times New Roman" w:hAnsi="Verdana" w:cs="Times New Roman"/>
                      <w:color w:val="000000"/>
                      <w:sz w:val="21"/>
                      <w:szCs w:val="21"/>
                      <w:lang w:eastAsia="cs-CZ"/>
                    </w:rPr>
                    <w:lastRenderedPageBreak/>
                    <w:t>rozpočet na tuto oblast navýšit. Tyto výdaje souvisí i s tím, že 81 % finančních institucí zaznamenalo v loňském roce nějaký pokus o útok.</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b/>
                      <w:bCs/>
                      <w:color w:val="13576B"/>
                      <w:sz w:val="21"/>
                      <w:szCs w:val="21"/>
                      <w:lang w:eastAsia="cs-CZ"/>
                    </w:rPr>
                    <w:t>Zvyšují se počty útoků i škoda</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Zatímco v roce 2020 bylo registrováno zhruba 5 000 útoků na klienty bank, loni už to bylo více než 12 000 a letos jen za prvních sedm měsíců roku podvodníci útočili v téměř 21 tisících případech. Vyplynulo to z dat, které banky poskytly České bankovní asociaci. </w:t>
                  </w:r>
                  <w:r w:rsidRPr="006373FE">
                    <w:rPr>
                      <w:rFonts w:ascii="Verdana" w:eastAsia="Times New Roman" w:hAnsi="Verdana" w:cs="Times New Roman"/>
                      <w:b/>
                      <w:bCs/>
                      <w:i/>
                      <w:iCs/>
                      <w:color w:val="13576B"/>
                      <w:sz w:val="21"/>
                      <w:szCs w:val="21"/>
                      <w:lang w:eastAsia="cs-CZ"/>
                    </w:rPr>
                    <w:t>„</w:t>
                  </w:r>
                  <w:r w:rsidRPr="006373FE">
                    <w:rPr>
                      <w:rFonts w:ascii="Verdana" w:eastAsia="Times New Roman" w:hAnsi="Verdana" w:cs="Times New Roman"/>
                      <w:i/>
                      <w:iCs/>
                      <w:color w:val="000000"/>
                      <w:sz w:val="21"/>
                      <w:szCs w:val="21"/>
                      <w:lang w:eastAsia="cs-CZ"/>
                    </w:rPr>
                    <w:t xml:space="preserve">Dramaticky přitom narostly hlavně podvodné telefonáty, tzv. </w:t>
                  </w:r>
                  <w:proofErr w:type="spellStart"/>
                  <w:r w:rsidRPr="006373FE">
                    <w:rPr>
                      <w:rFonts w:ascii="Verdana" w:eastAsia="Times New Roman" w:hAnsi="Verdana" w:cs="Times New Roman"/>
                      <w:i/>
                      <w:iCs/>
                      <w:color w:val="000000"/>
                      <w:sz w:val="21"/>
                      <w:szCs w:val="21"/>
                      <w:lang w:eastAsia="cs-CZ"/>
                    </w:rPr>
                    <w:t>vishing</w:t>
                  </w:r>
                  <w:proofErr w:type="spellEnd"/>
                  <w:r w:rsidRPr="006373FE">
                    <w:rPr>
                      <w:rFonts w:ascii="Verdana" w:eastAsia="Times New Roman" w:hAnsi="Verdana" w:cs="Times New Roman"/>
                      <w:i/>
                      <w:iCs/>
                      <w:color w:val="000000"/>
                      <w:sz w:val="21"/>
                      <w:szCs w:val="21"/>
                      <w:lang w:eastAsia="cs-CZ"/>
                    </w:rPr>
                    <w:t xml:space="preserve">, které </w:t>
                  </w:r>
                  <w:proofErr w:type="gramStart"/>
                  <w:r w:rsidRPr="006373FE">
                    <w:rPr>
                      <w:rFonts w:ascii="Verdana" w:eastAsia="Times New Roman" w:hAnsi="Verdana" w:cs="Times New Roman"/>
                      <w:i/>
                      <w:iCs/>
                      <w:color w:val="000000"/>
                      <w:sz w:val="21"/>
                      <w:szCs w:val="21"/>
                      <w:lang w:eastAsia="cs-CZ"/>
                    </w:rPr>
                    <w:t>patří</w:t>
                  </w:r>
                  <w:proofErr w:type="gramEnd"/>
                  <w:r w:rsidRPr="006373FE">
                    <w:rPr>
                      <w:rFonts w:ascii="Verdana" w:eastAsia="Times New Roman" w:hAnsi="Verdana" w:cs="Times New Roman"/>
                      <w:i/>
                      <w:iCs/>
                      <w:color w:val="000000"/>
                      <w:sz w:val="21"/>
                      <w:szCs w:val="21"/>
                      <w:lang w:eastAsia="cs-CZ"/>
                    </w:rPr>
                    <w:t xml:space="preserve"> k těm nejzákeřnějším. Zatímco před dvěma lety se jejich počet pohyboval v nízkých stovkách, letos mluvíme již o desítkách tisíc. A narostla i jejich úspěšnost. Téměř každý druhý podvodný telefonát v současné době bohužel </w:t>
                  </w:r>
                  <w:proofErr w:type="gramStart"/>
                  <w:r w:rsidRPr="006373FE">
                    <w:rPr>
                      <w:rFonts w:ascii="Verdana" w:eastAsia="Times New Roman" w:hAnsi="Verdana" w:cs="Times New Roman"/>
                      <w:i/>
                      <w:iCs/>
                      <w:color w:val="000000"/>
                      <w:sz w:val="21"/>
                      <w:szCs w:val="21"/>
                      <w:lang w:eastAsia="cs-CZ"/>
                    </w:rPr>
                    <w:t>končí</w:t>
                  </w:r>
                  <w:proofErr w:type="gramEnd"/>
                  <w:r w:rsidRPr="006373FE">
                    <w:rPr>
                      <w:rFonts w:ascii="Verdana" w:eastAsia="Times New Roman" w:hAnsi="Verdana" w:cs="Times New Roman"/>
                      <w:i/>
                      <w:iCs/>
                      <w:color w:val="000000"/>
                      <w:sz w:val="21"/>
                      <w:szCs w:val="21"/>
                      <w:lang w:eastAsia="cs-CZ"/>
                    </w:rPr>
                    <w:t xml:space="preserve"> škodou pro klienta,“ </w:t>
                  </w:r>
                  <w:r w:rsidRPr="006373FE">
                    <w:rPr>
                      <w:rFonts w:ascii="Verdana" w:eastAsia="Times New Roman" w:hAnsi="Verdana" w:cs="Times New Roman"/>
                      <w:color w:val="000000"/>
                      <w:sz w:val="21"/>
                      <w:szCs w:val="21"/>
                      <w:lang w:eastAsia="cs-CZ"/>
                    </w:rPr>
                    <w:t>uvedla výkonná ředitelka České bankovní asociace Monika Zahálková</w:t>
                  </w:r>
                  <w:r w:rsidRPr="006373FE">
                    <w:rPr>
                      <w:rFonts w:ascii="Verdana" w:eastAsia="Times New Roman" w:hAnsi="Verdana" w:cs="Times New Roman"/>
                      <w:i/>
                      <w:iCs/>
                      <w:color w:val="000000"/>
                      <w:sz w:val="21"/>
                      <w:szCs w:val="21"/>
                      <w:lang w:eastAsia="cs-CZ"/>
                    </w:rPr>
                    <w:t>.</w:t>
                  </w:r>
                  <w:r w:rsidRPr="006373FE">
                    <w:rPr>
                      <w:rFonts w:ascii="Verdana" w:eastAsia="Times New Roman" w:hAnsi="Verdana" w:cs="Times New Roman"/>
                      <w:color w:val="000000"/>
                      <w:sz w:val="21"/>
                      <w:szCs w:val="21"/>
                      <w:lang w:eastAsia="cs-CZ"/>
                    </w:rPr>
                    <w:br/>
                    <w:t xml:space="preserve">Průměrné částky, o které klienti při útocích přicházejí, jsou přitom bohužel dost vysoké. </w:t>
                  </w:r>
                  <w:proofErr w:type="gramStart"/>
                  <w:r w:rsidRPr="006373FE">
                    <w:rPr>
                      <w:rFonts w:ascii="Verdana" w:eastAsia="Times New Roman" w:hAnsi="Verdana" w:cs="Times New Roman"/>
                      <w:color w:val="000000"/>
                      <w:sz w:val="21"/>
                      <w:szCs w:val="21"/>
                      <w:lang w:eastAsia="cs-CZ"/>
                    </w:rPr>
                    <w:t>Při  úspěšném</w:t>
                  </w:r>
                  <w:proofErr w:type="gramEnd"/>
                  <w:r w:rsidRPr="006373FE">
                    <w:rPr>
                      <w:rFonts w:ascii="Verdana" w:eastAsia="Times New Roman" w:hAnsi="Verdana" w:cs="Times New Roman"/>
                      <w:color w:val="000000"/>
                      <w:sz w:val="21"/>
                      <w:szCs w:val="21"/>
                      <w:lang w:eastAsia="cs-CZ"/>
                    </w:rPr>
                    <w:t xml:space="preserve"> útoku přijde klient v průměru o 161 500 korun. </w:t>
                  </w:r>
                  <w:proofErr w:type="spellStart"/>
                  <w:r w:rsidRPr="006373FE">
                    <w:rPr>
                      <w:rFonts w:ascii="Verdana" w:eastAsia="Times New Roman" w:hAnsi="Verdana" w:cs="Times New Roman"/>
                      <w:color w:val="000000"/>
                      <w:sz w:val="21"/>
                      <w:szCs w:val="21"/>
                      <w:lang w:eastAsia="cs-CZ"/>
                    </w:rPr>
                    <w:t>Phishing</w:t>
                  </w:r>
                  <w:proofErr w:type="spellEnd"/>
                  <w:r w:rsidRPr="006373FE">
                    <w:rPr>
                      <w:rFonts w:ascii="Verdana" w:eastAsia="Times New Roman" w:hAnsi="Verdana" w:cs="Times New Roman"/>
                      <w:color w:val="000000"/>
                      <w:sz w:val="21"/>
                      <w:szCs w:val="21"/>
                      <w:lang w:eastAsia="cs-CZ"/>
                    </w:rPr>
                    <w:t xml:space="preserve"> (podvodné e-maily) přitom přináší škodu kolem 73 tisíc korun u jednoho klienta, u podvodných telefonátů je škoda mnohem vyšší, v průměru čtvrt milionu korun.</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b/>
                      <w:bCs/>
                      <w:color w:val="13576B"/>
                      <w:sz w:val="21"/>
                      <w:szCs w:val="21"/>
                      <w:lang w:eastAsia="cs-CZ"/>
                    </w:rPr>
                    <w:t>Podvodníci přicházejí s novými metodami</w:t>
                  </w:r>
                  <w:r w:rsidRPr="006373FE">
                    <w:rPr>
                      <w:rFonts w:ascii="Verdana" w:eastAsia="Times New Roman" w:hAnsi="Verdana" w:cs="Times New Roman"/>
                      <w:color w:val="000000"/>
                      <w:sz w:val="21"/>
                      <w:szCs w:val="21"/>
                      <w:lang w:eastAsia="cs-CZ"/>
                    </w:rPr>
                    <w:br/>
                  </w:r>
                  <w:r w:rsidRPr="006373FE">
                    <w:rPr>
                      <w:rFonts w:ascii="Verdana" w:eastAsia="Times New Roman" w:hAnsi="Verdana" w:cs="Times New Roman"/>
                      <w:color w:val="000000"/>
                      <w:sz w:val="21"/>
                      <w:szCs w:val="21"/>
                      <w:lang w:eastAsia="cs-CZ"/>
                    </w:rPr>
                    <w:br/>
                    <w:t xml:space="preserve">Přibývá také způsobů, jimiž se podvodníci </w:t>
                  </w:r>
                  <w:proofErr w:type="gramStart"/>
                  <w:r w:rsidRPr="006373FE">
                    <w:rPr>
                      <w:rFonts w:ascii="Verdana" w:eastAsia="Times New Roman" w:hAnsi="Verdana" w:cs="Times New Roman"/>
                      <w:color w:val="000000"/>
                      <w:sz w:val="21"/>
                      <w:szCs w:val="21"/>
                      <w:lang w:eastAsia="cs-CZ"/>
                    </w:rPr>
                    <w:t>snaží</w:t>
                  </w:r>
                  <w:proofErr w:type="gramEnd"/>
                  <w:r w:rsidRPr="006373FE">
                    <w:rPr>
                      <w:rFonts w:ascii="Verdana" w:eastAsia="Times New Roman" w:hAnsi="Verdana" w:cs="Times New Roman"/>
                      <w:color w:val="000000"/>
                      <w:sz w:val="21"/>
                      <w:szCs w:val="21"/>
                      <w:lang w:eastAsia="cs-CZ"/>
                    </w:rPr>
                    <w:t xml:space="preserve"> své oběti nachytat. Kromě tradičních podvodných e-mailů, SMS a již zmíněného </w:t>
                  </w:r>
                  <w:proofErr w:type="spellStart"/>
                  <w:r w:rsidRPr="006373FE">
                    <w:rPr>
                      <w:rFonts w:ascii="Verdana" w:eastAsia="Times New Roman" w:hAnsi="Verdana" w:cs="Times New Roman"/>
                      <w:color w:val="000000"/>
                      <w:sz w:val="21"/>
                      <w:szCs w:val="21"/>
                      <w:lang w:eastAsia="cs-CZ"/>
                    </w:rPr>
                    <w:t>vishingu</w:t>
                  </w:r>
                  <w:proofErr w:type="spellEnd"/>
                  <w:r w:rsidRPr="006373FE">
                    <w:rPr>
                      <w:rFonts w:ascii="Verdana" w:eastAsia="Times New Roman" w:hAnsi="Verdana" w:cs="Times New Roman"/>
                      <w:color w:val="000000"/>
                      <w:sz w:val="21"/>
                      <w:szCs w:val="21"/>
                      <w:lang w:eastAsia="cs-CZ"/>
                    </w:rPr>
                    <w:t xml:space="preserve"> jsou stále častější podvody na sociálních sítích, kdy pachatel může dokonce ukrást identitu reálné osoby, a pod ní pak kontaktovat její přátele s cílem vylákat z nich peníze. Loňskou novinkou jsou také tzv. reverzní inzertní podvody, jejichž počet neustále roste. Terčem útočníků jsou v takovém případě především prodávající, kteří si zvolí jako platební metodu „bezpečnou platbu“, tedy zaslání peněz z karty na kartu, prostřednictvím peněženky zvoleného bazaru. Protože jsou klienti oslovováni údajným kupcem jejich zboží, nepředpokládají, že se z nich někdo </w:t>
                  </w:r>
                  <w:proofErr w:type="gramStart"/>
                  <w:r w:rsidRPr="006373FE">
                    <w:rPr>
                      <w:rFonts w:ascii="Verdana" w:eastAsia="Times New Roman" w:hAnsi="Verdana" w:cs="Times New Roman"/>
                      <w:color w:val="000000"/>
                      <w:sz w:val="21"/>
                      <w:szCs w:val="21"/>
                      <w:lang w:eastAsia="cs-CZ"/>
                    </w:rPr>
                    <w:t>snaží</w:t>
                  </w:r>
                  <w:proofErr w:type="gramEnd"/>
                  <w:r w:rsidRPr="006373FE">
                    <w:rPr>
                      <w:rFonts w:ascii="Verdana" w:eastAsia="Times New Roman" w:hAnsi="Verdana" w:cs="Times New Roman"/>
                      <w:color w:val="000000"/>
                      <w:sz w:val="21"/>
                      <w:szCs w:val="21"/>
                      <w:lang w:eastAsia="cs-CZ"/>
                    </w:rPr>
                    <w:t xml:space="preserve"> získat přístupové údaje k účtům a do jejich internetového bankovnictví. Mají zájem zboží prodat, a aby toho co nejdříve docílili, slepě spolupracují a vyplňují údaje o svých kartách a přístupech na účet v domnění, že nedělají nic špatně, a s vírou, že získají peníze za prodávané zboží. Opak je bohužel pravdou, o všechno přijdou.</w:t>
                  </w:r>
                  <w:r w:rsidRPr="006373FE">
                    <w:rPr>
                      <w:rFonts w:ascii="Verdana" w:eastAsia="Times New Roman" w:hAnsi="Verdana" w:cs="Times New Roman"/>
                      <w:color w:val="000000"/>
                      <w:sz w:val="21"/>
                      <w:szCs w:val="21"/>
                      <w:lang w:eastAsia="cs-CZ"/>
                    </w:rPr>
                    <w:br/>
                    <w:t> </w:t>
                  </w:r>
                  <w:r w:rsidRPr="006373FE">
                    <w:rPr>
                      <w:rFonts w:ascii="Verdana" w:eastAsia="Times New Roman" w:hAnsi="Verdana" w:cs="Times New Roman"/>
                      <w:color w:val="000000"/>
                      <w:sz w:val="21"/>
                      <w:szCs w:val="21"/>
                      <w:lang w:eastAsia="cs-CZ"/>
                    </w:rPr>
                    <w:br/>
                    <w:t>Proto Česká bankovní asociace spustila minulý týden rozsáhlou kampaň #nePINdej! Ústředním prvkem kampaně je již v úvodu zmíněný </w:t>
                  </w:r>
                  <w:proofErr w:type="spellStart"/>
                  <w:r w:rsidRPr="006373FE">
                    <w:rPr>
                      <w:rFonts w:ascii="Verdana" w:eastAsia="Times New Roman" w:hAnsi="Verdana" w:cs="Times New Roman"/>
                      <w:color w:val="000000"/>
                      <w:sz w:val="21"/>
                      <w:szCs w:val="21"/>
                      <w:lang w:eastAsia="cs-CZ"/>
                    </w:rPr>
                    <w:fldChar w:fldCharType="begin"/>
                  </w:r>
                  <w:r w:rsidRPr="006373FE">
                    <w:rPr>
                      <w:rFonts w:ascii="Verdana" w:eastAsia="Times New Roman" w:hAnsi="Verdana" w:cs="Times New Roman"/>
                      <w:color w:val="000000"/>
                      <w:sz w:val="21"/>
                      <w:szCs w:val="21"/>
                      <w:lang w:eastAsia="cs-CZ"/>
                    </w:rPr>
                    <w:instrText xml:space="preserve"> HYPERLINK "http://www.kybertest.cz/" </w:instrText>
                  </w:r>
                  <w:r w:rsidRPr="006373FE">
                    <w:rPr>
                      <w:rFonts w:ascii="Verdana" w:eastAsia="Times New Roman" w:hAnsi="Verdana" w:cs="Times New Roman"/>
                      <w:color w:val="000000"/>
                      <w:sz w:val="21"/>
                      <w:szCs w:val="21"/>
                      <w:lang w:eastAsia="cs-CZ"/>
                    </w:rPr>
                    <w:fldChar w:fldCharType="separate"/>
                  </w:r>
                  <w:r w:rsidRPr="006373FE">
                    <w:rPr>
                      <w:rFonts w:ascii="Verdana" w:eastAsia="Times New Roman" w:hAnsi="Verdana" w:cs="Times New Roman"/>
                      <w:color w:val="13576B"/>
                      <w:sz w:val="21"/>
                      <w:szCs w:val="21"/>
                      <w:u w:val="single"/>
                      <w:lang w:eastAsia="cs-CZ"/>
                    </w:rPr>
                    <w:t>Kybertest</w:t>
                  </w:r>
                  <w:proofErr w:type="spellEnd"/>
                  <w:r w:rsidRPr="006373FE">
                    <w:rPr>
                      <w:rFonts w:ascii="Verdana" w:eastAsia="Times New Roman" w:hAnsi="Verdana" w:cs="Times New Roman"/>
                      <w:color w:val="13576B"/>
                      <w:sz w:val="21"/>
                      <w:szCs w:val="21"/>
                      <w:u w:val="single"/>
                      <w:lang w:eastAsia="cs-CZ"/>
                    </w:rPr>
                    <w:t>.</w:t>
                  </w:r>
                  <w:r w:rsidRPr="006373FE">
                    <w:rPr>
                      <w:rFonts w:ascii="Verdana" w:eastAsia="Times New Roman" w:hAnsi="Verdana" w:cs="Times New Roman"/>
                      <w:color w:val="000000"/>
                      <w:sz w:val="21"/>
                      <w:szCs w:val="21"/>
                      <w:lang w:eastAsia="cs-CZ"/>
                    </w:rPr>
                    <w:fldChar w:fldCharType="end"/>
                  </w:r>
                  <w:r w:rsidRPr="006373FE">
                    <w:rPr>
                      <w:rFonts w:ascii="Verdana" w:eastAsia="Times New Roman" w:hAnsi="Verdana" w:cs="Times New Roman"/>
                      <w:color w:val="000000"/>
                      <w:sz w:val="21"/>
                      <w:szCs w:val="21"/>
                      <w:lang w:eastAsia="cs-CZ"/>
                    </w:rPr>
                    <w:t> Doufáme, že si na něj najdete čas a že vás bude bavit.</w:t>
                  </w:r>
                </w:p>
              </w:tc>
            </w:tr>
            <w:tr w:rsidR="006373FE" w:rsidRPr="006373FE" w14:paraId="2674D441" w14:textId="77777777">
              <w:trPr>
                <w:tblCellSpacing w:w="0" w:type="dxa"/>
                <w:jc w:val="center"/>
              </w:trPr>
              <w:tc>
                <w:tcPr>
                  <w:tcW w:w="0" w:type="auto"/>
                  <w:tcMar>
                    <w:top w:w="0" w:type="dxa"/>
                    <w:left w:w="300" w:type="dxa"/>
                    <w:bottom w:w="225" w:type="dxa"/>
                    <w:right w:w="300" w:type="dxa"/>
                  </w:tcMar>
                  <w:vAlign w:val="center"/>
                  <w:hideMark/>
                </w:tcPr>
                <w:p w14:paraId="67BBB0A7" w14:textId="08CB9C09" w:rsidR="006373FE" w:rsidRPr="006373FE" w:rsidRDefault="006373FE" w:rsidP="006373FE">
                  <w:pPr>
                    <w:spacing w:after="0" w:line="240" w:lineRule="auto"/>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sz w:val="2"/>
                      <w:szCs w:val="2"/>
                      <w:lang w:eastAsia="cs-CZ"/>
                    </w:rPr>
                    <w:lastRenderedPageBreak/>
                    <w:drawing>
                      <wp:inline distT="0" distB="0" distL="0" distR="0" wp14:anchorId="4AD8F7BB" wp14:editId="4C523517">
                        <wp:extent cx="5048250" cy="357187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3571875"/>
                                </a:xfrm>
                                <a:prstGeom prst="rect">
                                  <a:avLst/>
                                </a:prstGeom>
                                <a:noFill/>
                                <a:ln>
                                  <a:noFill/>
                                </a:ln>
                              </pic:spPr>
                            </pic:pic>
                          </a:graphicData>
                        </a:graphic>
                      </wp:inline>
                    </w:drawing>
                  </w:r>
                </w:p>
              </w:tc>
            </w:tr>
          </w:tbl>
          <w:p w14:paraId="6AFF966E"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2D989A46" w14:textId="77777777" w:rsidTr="006373FE">
        <w:trPr>
          <w:tblCellSpacing w:w="0" w:type="dxa"/>
        </w:trPr>
        <w:tc>
          <w:tcPr>
            <w:tcW w:w="0" w:type="auto"/>
            <w:shd w:val="clear" w:color="auto" w:fill="13576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373FE" w:rsidRPr="006373FE" w14:paraId="22FC3933" w14:textId="77777777">
              <w:trPr>
                <w:tblCellSpacing w:w="0" w:type="dxa"/>
                <w:jc w:val="center"/>
              </w:trPr>
              <w:tc>
                <w:tcPr>
                  <w:tcW w:w="0" w:type="auto"/>
                  <w:tcMar>
                    <w:top w:w="45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6373FE" w:rsidRPr="006373FE" w14:paraId="5243C726" w14:textId="77777777">
                    <w:trPr>
                      <w:tblCellSpacing w:w="0" w:type="dxa"/>
                    </w:trPr>
                    <w:tc>
                      <w:tcPr>
                        <w:tcW w:w="0" w:type="auto"/>
                        <w:tcMar>
                          <w:top w:w="225" w:type="dxa"/>
                          <w:left w:w="225" w:type="dxa"/>
                          <w:bottom w:w="225" w:type="dxa"/>
                          <w:right w:w="225" w:type="dxa"/>
                        </w:tcMar>
                        <w:vAlign w:val="center"/>
                        <w:hideMark/>
                      </w:tcPr>
                      <w:p w14:paraId="7168885A" w14:textId="715F39FA"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color w:val="A9936D"/>
                            <w:sz w:val="2"/>
                            <w:szCs w:val="2"/>
                            <w:lang w:eastAsia="cs-CZ"/>
                          </w:rPr>
                          <w:lastRenderedPageBreak/>
                          <w:drawing>
                            <wp:inline distT="0" distB="0" distL="0" distR="0" wp14:anchorId="00A49E99" wp14:editId="2364E984">
                              <wp:extent cx="390525" cy="390525"/>
                              <wp:effectExtent l="0" t="0" r="9525" b="9525"/>
                              <wp:docPr id="7" name="Obrázek 7">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0D3BF0B9" w14:textId="77777777"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6373FE" w:rsidRPr="006373FE" w14:paraId="2D1AD760" w14:textId="77777777" w:rsidTr="006373FE">
                    <w:trPr>
                      <w:tblCellSpacing w:w="0" w:type="dxa"/>
                    </w:trPr>
                    <w:tc>
                      <w:tcPr>
                        <w:tcW w:w="0" w:type="auto"/>
                        <w:tcMar>
                          <w:top w:w="225" w:type="dxa"/>
                          <w:left w:w="225" w:type="dxa"/>
                          <w:bottom w:w="225" w:type="dxa"/>
                          <w:right w:w="225" w:type="dxa"/>
                        </w:tcMar>
                        <w:vAlign w:val="center"/>
                        <w:hideMark/>
                      </w:tcPr>
                      <w:p w14:paraId="4F8E9C9B" w14:textId="67A3DA39"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color w:val="A9936D"/>
                            <w:sz w:val="2"/>
                            <w:szCs w:val="2"/>
                            <w:lang w:eastAsia="cs-CZ"/>
                          </w:rPr>
                          <w:drawing>
                            <wp:inline distT="0" distB="0" distL="0" distR="0" wp14:anchorId="46650901" wp14:editId="2A7BBA39">
                              <wp:extent cx="390525" cy="390525"/>
                              <wp:effectExtent l="0" t="0" r="9525" b="9525"/>
                              <wp:docPr id="6" name="Obrázek 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79C55B62" w14:textId="77777777"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6373FE" w:rsidRPr="006373FE" w14:paraId="438BCB46" w14:textId="77777777" w:rsidTr="006373FE">
                    <w:trPr>
                      <w:tblCellSpacing w:w="0" w:type="dxa"/>
                    </w:trPr>
                    <w:tc>
                      <w:tcPr>
                        <w:tcW w:w="0" w:type="auto"/>
                        <w:tcMar>
                          <w:top w:w="225" w:type="dxa"/>
                          <w:left w:w="225" w:type="dxa"/>
                          <w:bottom w:w="225" w:type="dxa"/>
                          <w:right w:w="225" w:type="dxa"/>
                        </w:tcMar>
                        <w:vAlign w:val="center"/>
                        <w:hideMark/>
                      </w:tcPr>
                      <w:p w14:paraId="234FB2D1" w14:textId="66413A8A"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color w:val="A9936D"/>
                            <w:sz w:val="2"/>
                            <w:szCs w:val="2"/>
                            <w:lang w:eastAsia="cs-CZ"/>
                          </w:rPr>
                          <w:drawing>
                            <wp:inline distT="0" distB="0" distL="0" distR="0" wp14:anchorId="2D1758C3" wp14:editId="771B1D55">
                              <wp:extent cx="390525" cy="390525"/>
                              <wp:effectExtent l="0" t="0" r="9525" b="9525"/>
                              <wp:docPr id="5" name="Obrázek 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650223FB" w14:textId="77777777"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6373FE" w:rsidRPr="006373FE" w14:paraId="79B9AC0A" w14:textId="77777777" w:rsidTr="006373FE">
                    <w:trPr>
                      <w:tblCellSpacing w:w="0" w:type="dxa"/>
                    </w:trPr>
                    <w:tc>
                      <w:tcPr>
                        <w:tcW w:w="0" w:type="auto"/>
                        <w:tcMar>
                          <w:top w:w="225" w:type="dxa"/>
                          <w:left w:w="225" w:type="dxa"/>
                          <w:bottom w:w="225" w:type="dxa"/>
                          <w:right w:w="225" w:type="dxa"/>
                        </w:tcMar>
                        <w:vAlign w:val="center"/>
                        <w:hideMark/>
                      </w:tcPr>
                      <w:p w14:paraId="1E2B2F13" w14:textId="7A5A5537"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color w:val="A9936D"/>
                            <w:sz w:val="2"/>
                            <w:szCs w:val="2"/>
                            <w:lang w:eastAsia="cs-CZ"/>
                          </w:rPr>
                          <w:drawing>
                            <wp:inline distT="0" distB="0" distL="0" distR="0" wp14:anchorId="73B4F745" wp14:editId="6DB95763">
                              <wp:extent cx="390525" cy="390525"/>
                              <wp:effectExtent l="0" t="0" r="9525" b="9525"/>
                              <wp:docPr id="4" name="Obrázek 4">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6309E80D" w14:textId="77777777"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sz w:val="2"/>
                      <w:szCs w:val="2"/>
                      <w:lang w:eastAsia="cs-CZ"/>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tblGrid>
                  <w:tr w:rsidR="006373FE" w:rsidRPr="006373FE" w14:paraId="51A7F2A2" w14:textId="77777777" w:rsidTr="006373FE">
                    <w:trPr>
                      <w:tblCellSpacing w:w="0" w:type="dxa"/>
                    </w:trPr>
                    <w:tc>
                      <w:tcPr>
                        <w:tcW w:w="0" w:type="auto"/>
                        <w:tcMar>
                          <w:top w:w="225" w:type="dxa"/>
                          <w:left w:w="225" w:type="dxa"/>
                          <w:bottom w:w="225" w:type="dxa"/>
                          <w:right w:w="225" w:type="dxa"/>
                        </w:tcMar>
                        <w:vAlign w:val="center"/>
                        <w:hideMark/>
                      </w:tcPr>
                      <w:p w14:paraId="0E1834A2" w14:textId="64CA7310" w:rsidR="006373FE" w:rsidRPr="006373FE" w:rsidRDefault="006373FE" w:rsidP="006373FE">
                        <w:pPr>
                          <w:spacing w:after="0" w:line="240" w:lineRule="auto"/>
                          <w:jc w:val="center"/>
                          <w:rPr>
                            <w:rFonts w:ascii="Times New Roman" w:eastAsia="Times New Roman" w:hAnsi="Times New Roman" w:cs="Times New Roman"/>
                            <w:sz w:val="2"/>
                            <w:szCs w:val="2"/>
                            <w:lang w:eastAsia="cs-CZ"/>
                          </w:rPr>
                        </w:pPr>
                        <w:r w:rsidRPr="006373FE">
                          <w:rPr>
                            <w:rFonts w:ascii="Times New Roman" w:eastAsia="Times New Roman" w:hAnsi="Times New Roman" w:cs="Times New Roman"/>
                            <w:noProof/>
                            <w:color w:val="A9936D"/>
                            <w:sz w:val="2"/>
                            <w:szCs w:val="2"/>
                            <w:lang w:eastAsia="cs-CZ"/>
                          </w:rPr>
                          <w:drawing>
                            <wp:inline distT="0" distB="0" distL="0" distR="0" wp14:anchorId="007F0862" wp14:editId="465C7A3E">
                              <wp:extent cx="390525" cy="390525"/>
                              <wp:effectExtent l="0" t="0" r="9525" b="9525"/>
                              <wp:docPr id="3" name="Obrázek 3">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3140B24" w14:textId="77777777" w:rsidR="006373FE" w:rsidRPr="006373FE" w:rsidRDefault="006373FE" w:rsidP="006373FE">
                  <w:pPr>
                    <w:spacing w:after="0" w:line="240" w:lineRule="auto"/>
                    <w:jc w:val="center"/>
                    <w:textAlignment w:val="center"/>
                    <w:rPr>
                      <w:rFonts w:ascii="Times New Roman" w:eastAsia="Times New Roman" w:hAnsi="Times New Roman" w:cs="Times New Roman"/>
                      <w:sz w:val="2"/>
                      <w:szCs w:val="2"/>
                      <w:lang w:eastAsia="cs-CZ"/>
                    </w:rPr>
                  </w:pPr>
                </w:p>
              </w:tc>
            </w:tr>
          </w:tbl>
          <w:p w14:paraId="412B1A31" w14:textId="77777777" w:rsidR="006373FE" w:rsidRPr="006373FE" w:rsidRDefault="006373FE" w:rsidP="006373FE">
            <w:pPr>
              <w:spacing w:after="0" w:line="240" w:lineRule="auto"/>
              <w:jc w:val="center"/>
              <w:rPr>
                <w:rFonts w:ascii="Times New Roman" w:eastAsia="Times New Roman" w:hAnsi="Times New Roman" w:cs="Times New Roman"/>
                <w:color w:val="404040"/>
                <w:sz w:val="27"/>
                <w:szCs w:val="27"/>
                <w:lang w:eastAsia="cs-CZ"/>
              </w:rPr>
            </w:pPr>
          </w:p>
        </w:tc>
      </w:tr>
      <w:tr w:rsidR="006373FE" w:rsidRPr="006373FE" w14:paraId="2DBFBA77" w14:textId="77777777" w:rsidTr="006373FE">
        <w:trPr>
          <w:tblCellSpacing w:w="0" w:type="dxa"/>
        </w:trPr>
        <w:tc>
          <w:tcPr>
            <w:tcW w:w="0" w:type="auto"/>
            <w:shd w:val="clear" w:color="auto" w:fill="0F4352"/>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373FE" w:rsidRPr="006373FE" w14:paraId="4677684E" w14:textId="77777777">
              <w:trPr>
                <w:tblCellSpacing w:w="0" w:type="dxa"/>
              </w:trPr>
              <w:tc>
                <w:tcPr>
                  <w:tcW w:w="0" w:type="auto"/>
                  <w:tcMar>
                    <w:top w:w="225" w:type="dxa"/>
                    <w:left w:w="300" w:type="dxa"/>
                    <w:bottom w:w="225" w:type="dxa"/>
                    <w:right w:w="300" w:type="dxa"/>
                  </w:tcMar>
                  <w:vAlign w:val="center"/>
                  <w:hideMark/>
                </w:tcPr>
                <w:p w14:paraId="52634C6A" w14:textId="77777777" w:rsidR="006373FE" w:rsidRPr="006373FE" w:rsidRDefault="006373FE" w:rsidP="006373FE">
                  <w:pPr>
                    <w:spacing w:after="0" w:line="300" w:lineRule="atLeast"/>
                    <w:jc w:val="center"/>
                    <w:rPr>
                      <w:rFonts w:ascii="Verdana" w:eastAsia="Times New Roman" w:hAnsi="Verdana" w:cs="Times New Roman"/>
                      <w:color w:val="FFFFFF"/>
                      <w:sz w:val="18"/>
                      <w:szCs w:val="18"/>
                      <w:lang w:eastAsia="cs-CZ"/>
                    </w:rPr>
                  </w:pPr>
                  <w:hyperlink r:id="rId32" w:history="1">
                    <w:r w:rsidRPr="006373FE">
                      <w:rPr>
                        <w:rFonts w:ascii="Verdana" w:eastAsia="Times New Roman" w:hAnsi="Verdana" w:cs="Times New Roman"/>
                        <w:b/>
                        <w:bCs/>
                        <w:color w:val="FFFFFF"/>
                        <w:sz w:val="21"/>
                        <w:szCs w:val="21"/>
                        <w:u w:val="single"/>
                        <w:lang w:eastAsia="cs-CZ"/>
                      </w:rPr>
                      <w:t>Odhlásit se</w:t>
                    </w:r>
                  </w:hyperlink>
                  <w:r w:rsidRPr="006373FE">
                    <w:rPr>
                      <w:rFonts w:ascii="Verdana" w:eastAsia="Times New Roman" w:hAnsi="Verdana" w:cs="Times New Roman"/>
                      <w:color w:val="FFFFFF"/>
                      <w:sz w:val="18"/>
                      <w:szCs w:val="18"/>
                      <w:lang w:eastAsia="cs-CZ"/>
                    </w:rPr>
                    <w:t> z odběru novinek.</w:t>
                  </w:r>
                </w:p>
              </w:tc>
            </w:tr>
          </w:tbl>
          <w:p w14:paraId="6DE96474" w14:textId="77777777" w:rsidR="006373FE" w:rsidRPr="006373FE" w:rsidRDefault="006373FE" w:rsidP="006373FE">
            <w:pPr>
              <w:spacing w:after="0" w:line="240" w:lineRule="auto"/>
              <w:rPr>
                <w:rFonts w:ascii="Times New Roman" w:eastAsia="Times New Roman" w:hAnsi="Times New Roman" w:cs="Times New Roman"/>
                <w:color w:val="FFFFFF"/>
                <w:sz w:val="27"/>
                <w:szCs w:val="27"/>
                <w:lang w:eastAsia="cs-CZ"/>
              </w:rPr>
            </w:pPr>
          </w:p>
        </w:tc>
      </w:tr>
    </w:tbl>
    <w:p w14:paraId="1786CEB3" w14:textId="77777777" w:rsidR="006373FE" w:rsidRDefault="006373FE"/>
    <w:sectPr w:rsidR="006373FE" w:rsidSect="006373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FE"/>
    <w:rsid w:val="0020451E"/>
    <w:rsid w:val="00637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8F19"/>
  <w15:chartTrackingRefBased/>
  <w15:docId w15:val="{E11BA624-39AA-4875-93EF-782F5C36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373FE"/>
    <w:rPr>
      <w:color w:val="0000FF"/>
      <w:u w:val="single"/>
    </w:rPr>
  </w:style>
  <w:style w:type="character" w:styleId="Siln">
    <w:name w:val="Strong"/>
    <w:basedOn w:val="Standardnpsmoodstavce"/>
    <w:uiPriority w:val="22"/>
    <w:qFormat/>
    <w:rsid w:val="006373FE"/>
    <w:rPr>
      <w:b/>
      <w:bCs/>
    </w:rPr>
  </w:style>
  <w:style w:type="paragraph" w:styleId="Normlnweb">
    <w:name w:val="Normal (Web)"/>
    <w:basedOn w:val="Normln"/>
    <w:uiPriority w:val="99"/>
    <w:semiHidden/>
    <w:unhideWhenUsed/>
    <w:rsid w:val="006373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373FE"/>
    <w:rPr>
      <w:i/>
      <w:iCs/>
    </w:rPr>
  </w:style>
  <w:style w:type="character" w:customStyle="1" w:styleId="mc-toc-title">
    <w:name w:val="mc-toc-title"/>
    <w:basedOn w:val="Standardnpsmoodstavce"/>
    <w:rsid w:val="0063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7105">
      <w:bodyDiv w:val="1"/>
      <w:marLeft w:val="0"/>
      <w:marRight w:val="0"/>
      <w:marTop w:val="0"/>
      <w:marBottom w:val="0"/>
      <w:divBdr>
        <w:top w:val="none" w:sz="0" w:space="0" w:color="auto"/>
        <w:left w:val="none" w:sz="0" w:space="0" w:color="auto"/>
        <w:bottom w:val="none" w:sz="0" w:space="0" w:color="auto"/>
        <w:right w:val="none" w:sz="0" w:space="0" w:color="auto"/>
      </w:divBdr>
      <w:divsChild>
        <w:div w:id="2117015119">
          <w:marLeft w:val="0"/>
          <w:marRight w:val="0"/>
          <w:marTop w:val="0"/>
          <w:marBottom w:val="0"/>
          <w:divBdr>
            <w:top w:val="none" w:sz="0" w:space="0" w:color="auto"/>
            <w:left w:val="none" w:sz="0" w:space="0" w:color="auto"/>
            <w:bottom w:val="none" w:sz="0" w:space="0" w:color="auto"/>
            <w:right w:val="none" w:sz="0" w:space="0" w:color="auto"/>
          </w:divBdr>
        </w:div>
        <w:div w:id="1657762412">
          <w:marLeft w:val="0"/>
          <w:marRight w:val="0"/>
          <w:marTop w:val="0"/>
          <w:marBottom w:val="0"/>
          <w:divBdr>
            <w:top w:val="none" w:sz="0" w:space="0" w:color="auto"/>
            <w:left w:val="none" w:sz="0" w:space="0" w:color="auto"/>
            <w:bottom w:val="none" w:sz="0" w:space="0" w:color="auto"/>
            <w:right w:val="none" w:sz="0" w:space="0" w:color="auto"/>
          </w:divBdr>
        </w:div>
        <w:div w:id="1474369058">
          <w:marLeft w:val="0"/>
          <w:marRight w:val="0"/>
          <w:marTop w:val="0"/>
          <w:marBottom w:val="0"/>
          <w:divBdr>
            <w:top w:val="none" w:sz="0" w:space="0" w:color="auto"/>
            <w:left w:val="none" w:sz="0" w:space="0" w:color="auto"/>
            <w:bottom w:val="none" w:sz="0" w:space="0" w:color="auto"/>
            <w:right w:val="none" w:sz="0" w:space="0" w:color="auto"/>
          </w:divBdr>
        </w:div>
        <w:div w:id="94256980">
          <w:marLeft w:val="0"/>
          <w:marRight w:val="0"/>
          <w:marTop w:val="0"/>
          <w:marBottom w:val="0"/>
          <w:divBdr>
            <w:top w:val="none" w:sz="0" w:space="0" w:color="auto"/>
            <w:left w:val="none" w:sz="0" w:space="0" w:color="auto"/>
            <w:bottom w:val="none" w:sz="0" w:space="0" w:color="auto"/>
            <w:right w:val="none" w:sz="0" w:space="0" w:color="auto"/>
          </w:divBdr>
        </w:div>
      </w:divsChild>
    </w:div>
    <w:div w:id="2144077121">
      <w:bodyDiv w:val="1"/>
      <w:marLeft w:val="0"/>
      <w:marRight w:val="0"/>
      <w:marTop w:val="0"/>
      <w:marBottom w:val="0"/>
      <w:divBdr>
        <w:top w:val="none" w:sz="0" w:space="0" w:color="auto"/>
        <w:left w:val="none" w:sz="0" w:space="0" w:color="auto"/>
        <w:bottom w:val="none" w:sz="0" w:space="0" w:color="auto"/>
        <w:right w:val="none" w:sz="0" w:space="0" w:color="auto"/>
      </w:divBdr>
      <w:divsChild>
        <w:div w:id="1731996337">
          <w:marLeft w:val="0"/>
          <w:marRight w:val="0"/>
          <w:marTop w:val="0"/>
          <w:marBottom w:val="0"/>
          <w:divBdr>
            <w:top w:val="none" w:sz="0" w:space="0" w:color="auto"/>
            <w:left w:val="none" w:sz="0" w:space="0" w:color="auto"/>
            <w:bottom w:val="none" w:sz="0" w:space="0" w:color="auto"/>
            <w:right w:val="none" w:sz="0" w:space="0" w:color="auto"/>
          </w:divBdr>
          <w:divsChild>
            <w:div w:id="1411929567">
              <w:marLeft w:val="0"/>
              <w:marRight w:val="0"/>
              <w:marTop w:val="0"/>
              <w:marBottom w:val="0"/>
              <w:divBdr>
                <w:top w:val="none" w:sz="0" w:space="0" w:color="auto"/>
                <w:left w:val="none" w:sz="0" w:space="0" w:color="auto"/>
                <w:bottom w:val="none" w:sz="0" w:space="0" w:color="auto"/>
                <w:right w:val="none" w:sz="0" w:space="0" w:color="auto"/>
              </w:divBdr>
              <w:divsChild>
                <w:div w:id="16835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cbaonline.cz/" TargetMode="Externa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cbaonline.cz/srpnova-duvera-v-ekonomiku-dale-poklesla" TargetMode="External"/><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lada.cz/cz/media-centrum/aktualne/vysledky-jednani-vlady-24--srpna-2022-198470/" TargetMode="External"/><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mfcr.cz/cs/aktualne/tiskove-zpravy/2022/ekonomika-projde-kvuli-valce-mirnou-rece-48515" TargetMode="External"/><Relationship Id="rId24" Type="http://schemas.openxmlformats.org/officeDocument/2006/relationships/hyperlink" Target="https://twitter.com/cba_cz" TargetMode="External"/><Relationship Id="rId32" Type="http://schemas.openxmlformats.org/officeDocument/2006/relationships/hyperlink" Target="https://cbaonline.us7.list-manage.com/unsubscribe?u=67056e43982504149585eafb4&amp;id=b198115c18&amp;e=%5bUNIQID%5d&amp;c=16ca8d7bb4" TargetMode="Externa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s://www.linkedin.com/company/ceska-bankovni-asociace/?viewAsMember=true" TargetMode="External"/><Relationship Id="rId10" Type="http://schemas.openxmlformats.org/officeDocument/2006/relationships/hyperlink" Target="https://www.cnb.cz/cs/statistika/menova_bankovni_stat/bankovni-statistika/bankovni-statistika/" TargetMode="External"/><Relationship Id="rId19" Type="http://schemas.openxmlformats.org/officeDocument/2006/relationships/hyperlink" Target="https://www.cbacg.cz/" TargetMode="External"/><Relationship Id="rId31" Type="http://schemas.openxmlformats.org/officeDocument/2006/relationships/image" Target="media/image17.png"/><Relationship Id="rId4" Type="http://schemas.openxmlformats.org/officeDocument/2006/relationships/image" Target="media/image1.png"/><Relationship Id="rId9" Type="http://schemas.openxmlformats.org/officeDocument/2006/relationships/hyperlink" Target="https://cbaonline.cz/windfall-tax-bankovni-sektor-vita-debatu" TargetMode="External"/><Relationship Id="rId14" Type="http://schemas.openxmlformats.org/officeDocument/2006/relationships/image" Target="media/image7.png"/><Relationship Id="rId22" Type="http://schemas.openxmlformats.org/officeDocument/2006/relationships/hyperlink" Target="https://www.facebook.com/ceskabankovniasociace" TargetMode="External"/><Relationship Id="rId27" Type="http://schemas.openxmlformats.org/officeDocument/2006/relationships/image" Target="media/image15.png"/><Relationship Id="rId30" Type="http://schemas.openxmlformats.org/officeDocument/2006/relationships/hyperlink" Target="https://www.youtube.com/channel/UCNKqC8xY_H-FmpAMEDbxdmg" TargetMode="External"/><Relationship Id="rId8"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12090</Characters>
  <Application>Microsoft Office Word</Application>
  <DocSecurity>0</DocSecurity>
  <Lines>100</Lines>
  <Paragraphs>28</Paragraphs>
  <ScaleCrop>false</ScaleCrop>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Možná</dc:creator>
  <cp:keywords/>
  <dc:description/>
  <cp:lastModifiedBy>Radana Možná</cp:lastModifiedBy>
  <cp:revision>1</cp:revision>
  <dcterms:created xsi:type="dcterms:W3CDTF">2022-09-05T16:08:00Z</dcterms:created>
  <dcterms:modified xsi:type="dcterms:W3CDTF">2022-09-05T16:09:00Z</dcterms:modified>
</cp:coreProperties>
</file>